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辽宁省工贸企业安全生产标准化</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建设定级实施办法</w:t>
      </w:r>
    </w:p>
    <w:p>
      <w:pPr>
        <w:numPr>
          <w:ilvl w:val="0"/>
          <w:numId w:val="0"/>
        </w:numPr>
        <w:ind w:firstLine="640"/>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numPr>
          <w:ilvl w:val="0"/>
          <w:numId w:val="0"/>
        </w:numPr>
        <w:ind w:firstLine="640"/>
        <w:rPr>
          <w:rFonts w:hint="default" w:ascii="Times New Roman" w:hAnsi="Times New Roman" w:eastAsia="方正仿宋简体" w:cs="Times New Roman"/>
          <w:sz w:val="32"/>
          <w:szCs w:val="32"/>
          <w:lang w:val="en-US" w:eastAsia="zh-CN"/>
        </w:rPr>
      </w:pPr>
      <w:r>
        <w:rPr>
          <w:rFonts w:hint="eastAsia" w:ascii="方正黑体简体" w:hAnsi="方正黑体简体" w:eastAsia="方正黑体简体" w:cs="方正黑体简体"/>
          <w:sz w:val="32"/>
          <w:szCs w:val="32"/>
          <w:lang w:val="en-US" w:eastAsia="zh-CN"/>
        </w:rPr>
        <w:t>第一条</w:t>
      </w:r>
      <w:r>
        <w:rPr>
          <w:rFonts w:hint="default" w:ascii="Times New Roman" w:hAnsi="Times New Roman" w:eastAsia="方正仿宋简体" w:cs="Times New Roman"/>
          <w:sz w:val="32"/>
          <w:szCs w:val="32"/>
          <w:lang w:val="en-US" w:eastAsia="zh-CN"/>
        </w:rPr>
        <w:t xml:space="preserve">  为进一步规范和促进全省工贸行业企业开展安全生产标准化（以下简称标准化）建设工作，</w:t>
      </w:r>
      <w:r>
        <w:rPr>
          <w:rFonts w:hint="default" w:ascii="Times New Roman" w:hAnsi="Times New Roman" w:eastAsia="方正仿宋简体" w:cs="Times New Roman"/>
          <w:sz w:val="32"/>
          <w:szCs w:val="32"/>
          <w:lang w:eastAsia="zh-CN"/>
        </w:rPr>
        <w:t>不断提升</w:t>
      </w:r>
      <w:r>
        <w:rPr>
          <w:rFonts w:hint="default" w:ascii="Times New Roman" w:hAnsi="Times New Roman" w:eastAsia="方正仿宋简体" w:cs="Times New Roman"/>
          <w:sz w:val="32"/>
          <w:szCs w:val="32"/>
          <w:lang w:val="en-US" w:eastAsia="zh-CN"/>
        </w:rPr>
        <w:t>企业安全基础管理水平，根据《应急管理部关于印发&lt;企业安全生产标准化建设定级办法&gt;的通知》（应急〔2021〕83号）文件有关规定，制定本实施办法。</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第二条</w:t>
      </w:r>
      <w:r>
        <w:rPr>
          <w:rFonts w:hint="default" w:ascii="Times New Roman" w:hAnsi="Times New Roman" w:eastAsia="方正仿宋简体" w:cs="Times New Roman"/>
          <w:sz w:val="32"/>
          <w:szCs w:val="32"/>
          <w:lang w:val="en-US" w:eastAsia="zh-CN"/>
        </w:rPr>
        <w:t xml:space="preserve">  本实施办法适用于全省冶金</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有色</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建材</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机械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轻工</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纺织</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烟草</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商贸行业企业（以下统称企业）安全生产标准化定级工作（以下简称标准化定级）。</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第三条</w:t>
      </w:r>
      <w:r>
        <w:rPr>
          <w:rFonts w:hint="default" w:ascii="Times New Roman" w:hAnsi="Times New Roman" w:eastAsia="方正仿宋简体" w:cs="Times New Roman"/>
          <w:sz w:val="32"/>
          <w:szCs w:val="32"/>
          <w:lang w:val="en-US" w:eastAsia="zh-CN"/>
        </w:rPr>
        <w:t xml:space="preserve">  企业应当按照安全生产有关法律、法规、规章、标准等要求，加强标准化建设，自愿申请标准化定级。</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第四条</w:t>
      </w:r>
      <w:r>
        <w:rPr>
          <w:rFonts w:hint="eastAsia" w:ascii="方正黑体简体" w:hAnsi="方正黑体简体" w:eastAsia="方正黑体简体" w:cs="方正黑体简体"/>
          <w:sz w:val="32"/>
          <w:szCs w:val="32"/>
          <w:lang w:val="en-US" w:eastAsia="zh-CN"/>
        </w:rPr>
        <w:t xml:space="preserve">  </w:t>
      </w:r>
      <w:r>
        <w:rPr>
          <w:rFonts w:hint="default" w:ascii="Times New Roman" w:hAnsi="Times New Roman" w:eastAsia="方正仿宋简体" w:cs="Times New Roman"/>
          <w:sz w:val="32"/>
          <w:szCs w:val="32"/>
          <w:lang w:val="en-US" w:eastAsia="zh-CN"/>
        </w:rPr>
        <w:t>企业标准化等级由高到低分为一级、二级、三级。定级标准按照应急管理部制定的行业标准执行；没有行业标准的，参照《企业安全生产标准化基本规范》（GB/T33000）配套的定级标准执行。</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第五条</w:t>
      </w:r>
      <w:r>
        <w:rPr>
          <w:rFonts w:hint="default" w:ascii="Times New Roman" w:hAnsi="Times New Roman" w:eastAsia="方正仿宋简体" w:cs="Times New Roman"/>
          <w:sz w:val="32"/>
          <w:szCs w:val="32"/>
          <w:lang w:val="en-US" w:eastAsia="zh-CN"/>
        </w:rPr>
        <w:t xml:space="preserve">  </w:t>
      </w:r>
      <w:r>
        <w:rPr>
          <w:rFonts w:hint="eastAsia" w:ascii="仿宋" w:hAnsi="仿宋" w:eastAsia="仿宋" w:cs="仿宋"/>
          <w:sz w:val="32"/>
          <w:szCs w:val="32"/>
          <w:lang w:val="en-US" w:eastAsia="zh-CN"/>
        </w:rPr>
        <w:t>企业标准化定级实行分级负责，</w:t>
      </w:r>
      <w:r>
        <w:rPr>
          <w:rFonts w:hint="default" w:ascii="Times New Roman" w:hAnsi="Times New Roman" w:eastAsia="方正仿宋简体" w:cs="Times New Roman"/>
          <w:sz w:val="32"/>
          <w:szCs w:val="32"/>
          <w:lang w:val="en-US" w:eastAsia="zh-CN"/>
        </w:rPr>
        <w:t>省级应急管理部门</w:t>
      </w:r>
      <w:r>
        <w:rPr>
          <w:rFonts w:hint="eastAsia" w:ascii="Times New Roman" w:hAnsi="Times New Roman" w:eastAsia="方正仿宋简体" w:cs="Times New Roman"/>
          <w:sz w:val="32"/>
          <w:szCs w:val="32"/>
          <w:lang w:val="en-US" w:eastAsia="zh-CN"/>
        </w:rPr>
        <w:t>为本行政区域</w:t>
      </w:r>
      <w:r>
        <w:rPr>
          <w:rFonts w:hint="default" w:ascii="Times New Roman" w:hAnsi="Times New Roman" w:eastAsia="方正仿宋简体" w:cs="Times New Roman"/>
          <w:sz w:val="32"/>
          <w:szCs w:val="32"/>
          <w:lang w:val="en-US" w:eastAsia="zh-CN"/>
        </w:rPr>
        <w:t>二级标准化定级</w:t>
      </w:r>
      <w:r>
        <w:rPr>
          <w:rFonts w:hint="eastAsia" w:ascii="Times New Roman" w:hAnsi="Times New Roman" w:eastAsia="方正仿宋简体" w:cs="Times New Roman"/>
          <w:sz w:val="32"/>
          <w:szCs w:val="32"/>
          <w:lang w:val="en-US" w:eastAsia="zh-CN"/>
        </w:rPr>
        <w:t>部门</w:t>
      </w:r>
      <w:r>
        <w:rPr>
          <w:rFonts w:hint="default" w:ascii="Times New Roman" w:hAnsi="Times New Roman" w:eastAsia="方正仿宋简体" w:cs="Times New Roman"/>
          <w:sz w:val="32"/>
          <w:szCs w:val="32"/>
          <w:lang w:val="en-US" w:eastAsia="zh-CN"/>
        </w:rPr>
        <w:t>；设区的市级应急管理部门</w:t>
      </w:r>
      <w:r>
        <w:rPr>
          <w:rFonts w:hint="eastAsia" w:ascii="Times New Roman" w:hAnsi="Times New Roman" w:eastAsia="方正仿宋简体" w:cs="Times New Roman"/>
          <w:sz w:val="32"/>
          <w:szCs w:val="32"/>
          <w:lang w:val="en-US" w:eastAsia="zh-CN"/>
        </w:rPr>
        <w:t>为本行政区域</w:t>
      </w:r>
      <w:r>
        <w:rPr>
          <w:rFonts w:hint="default" w:ascii="Times New Roman" w:hAnsi="Times New Roman" w:eastAsia="方正仿宋简体" w:cs="Times New Roman"/>
          <w:sz w:val="32"/>
          <w:szCs w:val="32"/>
          <w:lang w:val="en-US" w:eastAsia="zh-CN"/>
        </w:rPr>
        <w:t>内三级标准化定级</w:t>
      </w:r>
      <w:r>
        <w:rPr>
          <w:rFonts w:hint="eastAsia" w:ascii="Times New Roman" w:hAnsi="Times New Roman" w:eastAsia="方正仿宋简体" w:cs="Times New Roman"/>
          <w:sz w:val="32"/>
          <w:szCs w:val="32"/>
          <w:lang w:val="en-US" w:eastAsia="zh-CN"/>
        </w:rPr>
        <w:t>部门</w:t>
      </w:r>
      <w:r>
        <w:rPr>
          <w:rFonts w:hint="default" w:ascii="Times New Roman" w:hAnsi="Times New Roman" w:eastAsia="方正仿宋简体" w:cs="Times New Roman"/>
          <w:sz w:val="32"/>
          <w:szCs w:val="32"/>
          <w:lang w:val="en-US" w:eastAsia="zh-CN"/>
        </w:rPr>
        <w:t>；沈抚示范区应急管理部门</w:t>
      </w:r>
      <w:r>
        <w:rPr>
          <w:rFonts w:hint="eastAsia" w:ascii="Times New Roman" w:hAnsi="Times New Roman" w:eastAsia="方正仿宋简体" w:cs="Times New Roman"/>
          <w:sz w:val="32"/>
          <w:szCs w:val="32"/>
          <w:lang w:val="en-US" w:eastAsia="zh-CN"/>
        </w:rPr>
        <w:t>为本行政区域</w:t>
      </w:r>
      <w:r>
        <w:rPr>
          <w:rFonts w:hint="default" w:ascii="Times New Roman" w:hAnsi="Times New Roman" w:eastAsia="方正仿宋简体" w:cs="Times New Roman"/>
          <w:sz w:val="32"/>
          <w:szCs w:val="32"/>
          <w:lang w:val="en-US" w:eastAsia="zh-CN"/>
        </w:rPr>
        <w:t>内二级和三级标准化定级</w:t>
      </w:r>
      <w:r>
        <w:rPr>
          <w:rFonts w:hint="eastAsia" w:ascii="Times New Roman" w:hAnsi="Times New Roman" w:eastAsia="方正仿宋简体" w:cs="Times New Roman"/>
          <w:sz w:val="32"/>
          <w:szCs w:val="32"/>
          <w:lang w:val="en-US" w:eastAsia="zh-CN"/>
        </w:rPr>
        <w:t>部门</w:t>
      </w:r>
      <w:r>
        <w:rPr>
          <w:rFonts w:hint="default" w:ascii="Times New Roman" w:hAnsi="Times New Roman" w:eastAsia="方正仿宋简体" w:cs="Times New Roman"/>
          <w:sz w:val="32"/>
          <w:szCs w:val="32"/>
          <w:lang w:val="en-US" w:eastAsia="zh-CN"/>
        </w:rPr>
        <w:t>。一级标准化定级工作按照应急管理部有关规定执行。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第二章  定级组织</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六</w:t>
      </w:r>
      <w:r>
        <w:rPr>
          <w:rFonts w:hint="default" w:ascii="方正黑体简体" w:hAnsi="方正黑体简体" w:eastAsia="方正黑体简体" w:cs="方正黑体简体"/>
          <w:sz w:val="32"/>
          <w:szCs w:val="32"/>
          <w:lang w:val="en-US" w:eastAsia="zh-CN"/>
        </w:rPr>
        <w:t xml:space="preserve">条 </w:t>
      </w:r>
      <w:r>
        <w:rPr>
          <w:rFonts w:hint="default" w:ascii="Times New Roman" w:hAnsi="Times New Roman" w:eastAsia="方正仿宋简体" w:cs="Times New Roman"/>
          <w:sz w:val="32"/>
          <w:szCs w:val="32"/>
          <w:lang w:val="en-US" w:eastAsia="zh-CN"/>
        </w:rPr>
        <w:t xml:space="preserve"> 各级定级部门依据有关标准规范，统筹组织开展辖区内标准化定级工作。定级工作不得向企业收取任何费用。</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七</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sz w:val="32"/>
          <w:szCs w:val="32"/>
          <w:lang w:val="en-US" w:eastAsia="zh-CN"/>
        </w:rPr>
        <w:t xml:space="preserve">  各级定级部门可以通过政府购买服务的方式确定从事安全生产相关工作的事业单位或者社会组织作为标准化定级组织单位（以下简称组织单位），</w:t>
      </w:r>
      <w:r>
        <w:rPr>
          <w:rFonts w:hint="eastAsia" w:ascii="Times New Roman" w:hAnsi="Times New Roman" w:eastAsia="方正仿宋简体" w:cs="Times New Roman"/>
          <w:sz w:val="32"/>
          <w:szCs w:val="32"/>
          <w:lang w:val="en-US" w:eastAsia="zh-CN"/>
        </w:rPr>
        <w:t>委托其负责受理和审核企业</w:t>
      </w:r>
      <w:r>
        <w:rPr>
          <w:rFonts w:hint="default" w:ascii="Times New Roman" w:hAnsi="Times New Roman" w:eastAsia="方正仿宋简体" w:cs="Times New Roman"/>
          <w:sz w:val="32"/>
          <w:szCs w:val="32"/>
          <w:lang w:val="en-US" w:eastAsia="zh-CN"/>
        </w:rPr>
        <w:t>自评报告（</w:t>
      </w:r>
      <w:r>
        <w:rPr>
          <w:rFonts w:hint="eastAsia" w:ascii="Times New Roman" w:hAnsi="Times New Roman" w:eastAsia="方正仿宋简体" w:cs="Times New Roman"/>
          <w:sz w:val="32"/>
          <w:szCs w:val="32"/>
          <w:lang w:val="en-US" w:eastAsia="zh-CN"/>
        </w:rPr>
        <w:t>格式</w:t>
      </w:r>
      <w:r>
        <w:rPr>
          <w:rFonts w:hint="default" w:ascii="Times New Roman" w:hAnsi="Times New Roman" w:eastAsia="方正仿宋简体" w:cs="Times New Roman"/>
          <w:sz w:val="32"/>
          <w:szCs w:val="32"/>
          <w:lang w:val="en-US" w:eastAsia="zh-CN"/>
        </w:rPr>
        <w:t>附件1）、监督现场评审过程和质量，并向社会公布组织单位名单。有效期</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年。</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八</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sz w:val="32"/>
          <w:szCs w:val="32"/>
          <w:lang w:val="en-US" w:eastAsia="zh-CN"/>
        </w:rPr>
        <w:t xml:space="preserve">  各级定级部门可以通过政府购买服务方式委托从事安全生产相关工作的单位负责现场评审工作（以下简称评审单位），并向社会公布评审单位名单。有效期</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年。</w:t>
      </w:r>
    </w:p>
    <w:p>
      <w:pPr>
        <w:numPr>
          <w:ilvl w:val="0"/>
          <w:numId w:val="0"/>
        </w:numPr>
        <w:ind w:firstLine="64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各级定级部门也可以直接组织专家进行现场评审工作。</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九</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sz w:val="32"/>
          <w:szCs w:val="32"/>
          <w:lang w:val="en-US" w:eastAsia="zh-CN"/>
        </w:rPr>
        <w:t xml:space="preserve">  组织单位应具备以下条件：</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（一）有与其开展工作相适应的固定工作场所、办公设施和档案室，具有必要的技术支撑条件。</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（二）有健全的定级组织管理制度、定级组织程序文件、评审单位管理流程、评审档案管理制度等。</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（三）设有专职工作人员，并具备与其承担定级组织工作相适应的能力。</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（四）定级组织单位专职工作人员不少于</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名。</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十</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sz w:val="32"/>
          <w:szCs w:val="32"/>
          <w:lang w:val="en-US" w:eastAsia="zh-CN"/>
        </w:rPr>
        <w:t xml:space="preserve">  组织单位主要承担下列职责：</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w:t>
      </w:r>
      <w:r>
        <w:rPr>
          <w:rFonts w:hint="eastAsia" w:ascii="仿宋" w:hAnsi="仿宋" w:eastAsia="仿宋" w:cs="仿宋"/>
          <w:sz w:val="32"/>
          <w:szCs w:val="32"/>
          <w:lang w:val="en-US" w:eastAsia="zh-CN"/>
        </w:rPr>
        <w:t>负责对评审单位的日常管理，</w:t>
      </w:r>
      <w:r>
        <w:rPr>
          <w:rFonts w:hint="default" w:ascii="Times New Roman" w:hAnsi="Times New Roman" w:eastAsia="方正仿宋简体" w:cs="Times New Roman"/>
          <w:sz w:val="32"/>
          <w:szCs w:val="32"/>
          <w:lang w:val="en-US" w:eastAsia="zh-CN"/>
        </w:rPr>
        <w:t>制定</w:t>
      </w:r>
      <w:r>
        <w:rPr>
          <w:rFonts w:hint="eastAsia" w:ascii="Times New Roman" w:hAnsi="Times New Roman" w:eastAsia="方正仿宋简体" w:cs="Times New Roman"/>
          <w:sz w:val="32"/>
          <w:szCs w:val="32"/>
          <w:lang w:val="en-US" w:eastAsia="zh-CN"/>
        </w:rPr>
        <w:t>年度</w:t>
      </w:r>
      <w:r>
        <w:rPr>
          <w:rFonts w:hint="default" w:ascii="Times New Roman" w:hAnsi="Times New Roman" w:eastAsia="方正仿宋简体" w:cs="Times New Roman"/>
          <w:sz w:val="32"/>
          <w:szCs w:val="32"/>
          <w:lang w:val="en-US" w:eastAsia="zh-CN"/>
        </w:rPr>
        <w:t>抽查计划，并按计划通过随机抽查企业、电话询访、组织考核等方式</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对评审工作进行检查，建立考核档案，并将</w:t>
      </w:r>
      <w:r>
        <w:rPr>
          <w:rFonts w:hint="eastAsia" w:ascii="Times New Roman" w:hAnsi="Times New Roman" w:eastAsia="方正仿宋简体" w:cs="Times New Roman"/>
          <w:sz w:val="32"/>
          <w:szCs w:val="32"/>
          <w:lang w:val="en-US" w:eastAsia="zh-CN"/>
        </w:rPr>
        <w:t>有关</w:t>
      </w:r>
      <w:r>
        <w:rPr>
          <w:rFonts w:hint="default" w:ascii="Times New Roman" w:hAnsi="Times New Roman" w:eastAsia="方正仿宋简体" w:cs="Times New Roman"/>
          <w:sz w:val="32"/>
          <w:szCs w:val="32"/>
          <w:lang w:val="en-US" w:eastAsia="zh-CN"/>
        </w:rPr>
        <w:t>情况及时</w:t>
      </w:r>
      <w:r>
        <w:rPr>
          <w:rFonts w:hint="eastAsia" w:ascii="Times New Roman" w:hAnsi="Times New Roman" w:eastAsia="方正仿宋简体" w:cs="Times New Roman"/>
          <w:sz w:val="32"/>
          <w:szCs w:val="32"/>
          <w:lang w:val="en-US" w:eastAsia="zh-CN"/>
        </w:rPr>
        <w:t>报送定级</w:t>
      </w:r>
      <w:r>
        <w:rPr>
          <w:rFonts w:hint="default" w:ascii="Times New Roman" w:hAnsi="Times New Roman" w:eastAsia="方正仿宋简体" w:cs="Times New Roman"/>
          <w:sz w:val="32"/>
          <w:szCs w:val="32"/>
          <w:lang w:val="en-US" w:eastAsia="zh-CN"/>
        </w:rPr>
        <w:t>部门。</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（二）负责企业定级申请和评审报告的受理、审查及向定级部门提交公告请示工作。</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（三）协助定级部门做好其他相关工作。</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第三章  定级程序</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第十</w:t>
      </w:r>
      <w:r>
        <w:rPr>
          <w:rFonts w:hint="eastAsia" w:ascii="方正黑体简体" w:hAnsi="方正黑体简体" w:eastAsia="方正黑体简体" w:cs="方正黑体简体"/>
          <w:sz w:val="32"/>
          <w:szCs w:val="32"/>
          <w:lang w:val="en-US" w:eastAsia="zh-CN"/>
        </w:rPr>
        <w:t>一</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企业</w:t>
      </w:r>
      <w:r>
        <w:rPr>
          <w:rFonts w:hint="default" w:ascii="Times New Roman" w:hAnsi="Times New Roman" w:eastAsia="方正仿宋简体" w:cs="Times New Roman"/>
          <w:sz w:val="32"/>
          <w:szCs w:val="32"/>
          <w:lang w:val="en-US" w:eastAsia="zh-CN"/>
        </w:rPr>
        <w:t>标准化定级工作按照自评、</w:t>
      </w:r>
      <w:r>
        <w:rPr>
          <w:rFonts w:hint="eastAsia" w:ascii="Times New Roman" w:hAnsi="Times New Roman" w:eastAsia="方正仿宋简体" w:cs="Times New Roman"/>
          <w:sz w:val="32"/>
          <w:szCs w:val="32"/>
          <w:lang w:val="en-US" w:eastAsia="zh-CN"/>
        </w:rPr>
        <w:t>申请、</w:t>
      </w:r>
      <w:r>
        <w:rPr>
          <w:rFonts w:hint="default" w:ascii="Times New Roman" w:hAnsi="Times New Roman" w:eastAsia="方正仿宋简体" w:cs="Times New Roman"/>
          <w:sz w:val="32"/>
          <w:szCs w:val="32"/>
          <w:lang w:val="en-US" w:eastAsia="zh-CN"/>
        </w:rPr>
        <w:t>评审、公示、公告</w:t>
      </w:r>
      <w:r>
        <w:rPr>
          <w:rFonts w:hint="eastAsia" w:ascii="Times New Roman" w:hAnsi="Times New Roman" w:eastAsia="方正仿宋简体" w:cs="Times New Roman"/>
          <w:sz w:val="32"/>
          <w:szCs w:val="32"/>
          <w:lang w:val="en-US" w:eastAsia="zh-CN"/>
        </w:rPr>
        <w:t>的程序进行</w:t>
      </w:r>
      <w:r>
        <w:rPr>
          <w:rFonts w:hint="default" w:ascii="Times New Roman" w:hAnsi="Times New Roman" w:eastAsia="方正仿宋简体" w:cs="Times New Roman"/>
          <w:sz w:val="32"/>
          <w:szCs w:val="32"/>
          <w:lang w:val="en-US" w:eastAsia="zh-CN"/>
        </w:rPr>
        <w:t>。</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第十</w:t>
      </w:r>
      <w:r>
        <w:rPr>
          <w:rFonts w:hint="eastAsia" w:ascii="方正黑体简体" w:hAnsi="方正黑体简体" w:eastAsia="方正黑体简体" w:cs="方正黑体简体"/>
          <w:sz w:val="32"/>
          <w:szCs w:val="32"/>
          <w:lang w:val="en-US" w:eastAsia="zh-CN"/>
        </w:rPr>
        <w:t>二</w:t>
      </w:r>
      <w:r>
        <w:rPr>
          <w:rFonts w:hint="default" w:ascii="方正黑体简体" w:hAnsi="方正黑体简体" w:eastAsia="方正黑体简体" w:cs="方正黑体简体"/>
          <w:sz w:val="32"/>
          <w:szCs w:val="32"/>
          <w:lang w:val="en-US" w:eastAsia="zh-CN"/>
        </w:rPr>
        <w:t xml:space="preserve">条 </w:t>
      </w:r>
      <w:r>
        <w:rPr>
          <w:rFonts w:hint="default" w:ascii="Times New Roman" w:hAnsi="Times New Roman" w:eastAsia="方正仿宋简体" w:cs="Times New Roman"/>
          <w:b/>
          <w:bCs/>
          <w:sz w:val="32"/>
          <w:szCs w:val="32"/>
          <w:lang w:val="en-US" w:eastAsia="zh-CN"/>
        </w:rPr>
        <w:t>自评。</w:t>
      </w:r>
      <w:r>
        <w:rPr>
          <w:rFonts w:hint="default" w:ascii="Times New Roman" w:hAnsi="Times New Roman" w:eastAsia="方正仿宋简体" w:cs="Times New Roman"/>
          <w:sz w:val="32"/>
          <w:szCs w:val="32"/>
          <w:lang w:val="en-US" w:eastAsia="zh-CN"/>
        </w:rPr>
        <w:t>企业应当自主开展标准化建设，成立由其主要负责人任组长、有员工代表参加的工作组，按照生产流程和风险情况，编制企业标准化自评工作计划和实施方案，对照标准化相应定级标准对自身安全生产条件及安全管理现状进行诊断，建立并保持全员参与的安全生产管理体系，实现安全管理系统化、岗位操作行为规范化、设备设施本质安全化、作业环境器具定置化。每年至少开展一次自评工作，并形成书面自评报告，在企业内部公示不少于10个工作日，及时整改发现的问题，持续改进安全绩效。</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申请二级标准化</w:t>
      </w:r>
      <w:r>
        <w:rPr>
          <w:rFonts w:hint="eastAsia"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sz w:val="32"/>
          <w:szCs w:val="32"/>
          <w:lang w:val="en-US" w:eastAsia="zh-CN"/>
        </w:rPr>
        <w:t>企业</w:t>
      </w:r>
      <w:r>
        <w:rPr>
          <w:rFonts w:hint="eastAsia" w:ascii="Times New Roman" w:hAnsi="Times New Roman" w:eastAsia="方正仿宋简体" w:cs="Times New Roman"/>
          <w:sz w:val="32"/>
          <w:szCs w:val="32"/>
          <w:lang w:val="en-US" w:eastAsia="zh-CN"/>
        </w:rPr>
        <w:t>应</w:t>
      </w:r>
      <w:r>
        <w:rPr>
          <w:rFonts w:hint="default" w:ascii="Times New Roman" w:hAnsi="Times New Roman" w:eastAsia="方正仿宋简体" w:cs="Times New Roman"/>
          <w:sz w:val="32"/>
          <w:szCs w:val="32"/>
          <w:lang w:val="en-US" w:eastAsia="zh-CN"/>
        </w:rPr>
        <w:t>具备一定规模，在岗员工达到</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00人以上，</w:t>
      </w:r>
      <w:r>
        <w:rPr>
          <w:rFonts w:hint="eastAsia" w:ascii="Times New Roman" w:hAnsi="Times New Roman" w:eastAsia="方正仿宋简体" w:cs="Times New Roman"/>
          <w:sz w:val="32"/>
          <w:szCs w:val="32"/>
          <w:lang w:val="en-US" w:eastAsia="zh-CN"/>
        </w:rPr>
        <w:t>或</w:t>
      </w:r>
      <w:r>
        <w:rPr>
          <w:rFonts w:hint="default" w:ascii="Times New Roman" w:hAnsi="Times New Roman" w:eastAsia="方正仿宋简体" w:cs="Times New Roman"/>
          <w:sz w:val="32"/>
          <w:szCs w:val="32"/>
          <w:lang w:val="en-US" w:eastAsia="zh-CN"/>
        </w:rPr>
        <w:t>年主营业务收入</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亿元</w:t>
      </w:r>
      <w:r>
        <w:rPr>
          <w:rFonts w:hint="eastAsia" w:ascii="Times New Roman" w:hAnsi="Times New Roman" w:eastAsia="方正仿宋简体" w:cs="Times New Roman"/>
          <w:sz w:val="32"/>
          <w:szCs w:val="32"/>
          <w:lang w:val="en-US" w:eastAsia="zh-CN"/>
        </w:rPr>
        <w:t>以上</w:t>
      </w:r>
      <w:r>
        <w:rPr>
          <w:rFonts w:hint="default" w:ascii="Times New Roman" w:hAnsi="Times New Roman" w:eastAsia="方正仿宋简体" w:cs="Times New Roman"/>
          <w:sz w:val="32"/>
          <w:szCs w:val="32"/>
          <w:lang w:val="en-US" w:eastAsia="zh-CN"/>
        </w:rPr>
        <w:t>。</w:t>
      </w:r>
    </w:p>
    <w:p>
      <w:pPr>
        <w:numPr>
          <w:ilvl w:val="0"/>
          <w:numId w:val="0"/>
        </w:numPr>
        <w:ind w:firstLine="640"/>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十三</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b/>
          <w:bCs/>
          <w:sz w:val="32"/>
          <w:szCs w:val="32"/>
          <w:lang w:val="en-US" w:eastAsia="zh-CN"/>
        </w:rPr>
        <w:t xml:space="preserve"> 申请。</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（一）</w:t>
      </w:r>
      <w:r>
        <w:rPr>
          <w:rFonts w:hint="default" w:ascii="Times New Roman" w:hAnsi="Times New Roman" w:eastAsia="方正仿宋简体" w:cs="Times New Roman"/>
          <w:sz w:val="32"/>
          <w:szCs w:val="32"/>
          <w:lang w:val="en-US" w:eastAsia="zh-CN"/>
        </w:rPr>
        <w:t>申请定级的企业，依拟申请的等级向定级组织单位提交自评报告，在自评报告中，由其主要负责人承诺符合以下条件：</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1.依法应当具备的证照齐全有效。</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2.依法设置安全生产管理机构或者配备安全生产管理人员。</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3.主要负责人、安全生产管理人员、特种作业人员依法持证上岗，使用被派遣劳动者的，应当将被派遣劳动者纳入本单位从业人员统一管理。</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4.建立健全并落实本单位全员安全生产责任制，制定本单位生产安全事故应急救援预案，与所在地县级以上地方人民政府组织制定的生产安全事故应急救援预案相衔接，并定期组织演练。</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5.申请定级之日前1年内，未发生死亡、总计3人及以上重伤或者直接经济损失总计100万元及以上的生产安全事故。</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6.未发生造成重大社会不良影响的事件。</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7.未被列入安全生产失信惩戒名单。</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8.前次申请定级被告知未通过之日起满1年。</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9.被撤销标准化等级之日起满1年。</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10.组织建立并落实安全风险分级管控和隐患排查治理双重预防工作机制，全面开展隐患排查治理，发现的重大隐患已完成整改。</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（二）组织单位收到企业自评报告后，应当根据下列情况分别作出处理：</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1.自评报告内容存在错误、不齐全或者不符合规定形式的，在5个工作日内一次书面告知企业需要补正的全部内容；逾期不告知的，自收到自评报告之日起即为受理。</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自评报告内容齐全、符合规定形式，或者企业按照要求补正全部内容后，对自评报告逐项进行审核。对符合申请条件的，将审核意见和企业自评报告一并报送定级部门，并书面告知企业；对不符合的，书面告知企业并说明理由。</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（三）审核、报送和告知工作应当在10个工作日内完成。</w:t>
      </w:r>
    </w:p>
    <w:p>
      <w:pPr>
        <w:numPr>
          <w:ilvl w:val="0"/>
          <w:numId w:val="0"/>
        </w:numPr>
        <w:ind w:firstLine="640"/>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十五</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b/>
          <w:bCs/>
          <w:sz w:val="32"/>
          <w:szCs w:val="32"/>
          <w:lang w:val="en-US" w:eastAsia="zh-CN"/>
        </w:rPr>
        <w:t xml:space="preserve"> 评审。</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（一）</w:t>
      </w:r>
      <w:r>
        <w:rPr>
          <w:rFonts w:hint="default" w:ascii="Times New Roman" w:hAnsi="Times New Roman" w:eastAsia="方正仿宋简体" w:cs="Times New Roman"/>
          <w:sz w:val="32"/>
          <w:szCs w:val="32"/>
          <w:lang w:val="en-US" w:eastAsia="zh-CN"/>
        </w:rPr>
        <w:t>定级部门对组织单位报送的审核意见和企业自评报告进行确认后，由组织单位通知评审单位</w:t>
      </w:r>
      <w:r>
        <w:rPr>
          <w:rFonts w:hint="eastAsia" w:ascii="Times New Roman" w:hAnsi="Times New Roman" w:eastAsia="方正仿宋简体" w:cs="Times New Roman"/>
          <w:sz w:val="32"/>
          <w:szCs w:val="32"/>
          <w:lang w:val="en-US" w:eastAsia="zh-CN"/>
        </w:rPr>
        <w:t>或组织专家</w:t>
      </w:r>
      <w:r>
        <w:rPr>
          <w:rFonts w:hint="default" w:ascii="Times New Roman" w:hAnsi="Times New Roman" w:eastAsia="方正仿宋简体" w:cs="Times New Roman"/>
          <w:sz w:val="32"/>
          <w:szCs w:val="32"/>
          <w:lang w:val="en-US" w:eastAsia="zh-CN"/>
        </w:rPr>
        <w:t>开展现场评审工作。</w:t>
      </w:r>
    </w:p>
    <w:p>
      <w:pPr>
        <w:numPr>
          <w:ilvl w:val="0"/>
          <w:numId w:val="0"/>
        </w:numPr>
        <w:ind w:firstLine="640"/>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（二）</w:t>
      </w:r>
      <w:r>
        <w:rPr>
          <w:rFonts w:hint="default" w:ascii="Times New Roman" w:hAnsi="Times New Roman" w:eastAsia="方正仿宋简体" w:cs="Times New Roman"/>
          <w:color w:val="auto"/>
          <w:sz w:val="32"/>
          <w:szCs w:val="32"/>
        </w:rPr>
        <w:t>评审单位收到组织单位授权和转交的申请材料后，应在现场评审前</w:t>
      </w:r>
      <w:r>
        <w:rPr>
          <w:rFonts w:hint="default" w:ascii="Times New Roman" w:hAnsi="Times New Roman" w:eastAsia="方正仿宋简体" w:cs="Times New Roman"/>
          <w:color w:val="auto"/>
          <w:sz w:val="32"/>
          <w:szCs w:val="32"/>
          <w:lang w:eastAsia="zh-CN"/>
        </w:rPr>
        <w:t>编制现场评审方案，明确评审时间、评审范围、评审依据以及评审组成员，函告申请企业，</w:t>
      </w:r>
      <w:r>
        <w:rPr>
          <w:rFonts w:hint="default" w:ascii="Times New Roman" w:hAnsi="Times New Roman" w:eastAsia="方正仿宋简体" w:cs="Times New Roman"/>
          <w:sz w:val="32"/>
          <w:szCs w:val="32"/>
          <w:lang w:val="en-US" w:eastAsia="zh-CN"/>
        </w:rPr>
        <w:t>在20个工作日内完成现场评审</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现场评审时，按照</w:t>
      </w:r>
      <w:r>
        <w:rPr>
          <w:rFonts w:hint="default" w:ascii="Times New Roman" w:hAnsi="Times New Roman" w:eastAsia="方正仿宋简体" w:cs="Times New Roman"/>
          <w:color w:val="auto"/>
          <w:sz w:val="32"/>
          <w:szCs w:val="32"/>
          <w:lang w:eastAsia="zh-CN"/>
        </w:rPr>
        <w:t>相关行业</w:t>
      </w:r>
      <w:r>
        <w:rPr>
          <w:rFonts w:hint="default" w:ascii="Times New Roman" w:hAnsi="Times New Roman" w:eastAsia="方正仿宋简体" w:cs="Times New Roman"/>
          <w:color w:val="auto"/>
          <w:sz w:val="32"/>
          <w:szCs w:val="32"/>
        </w:rPr>
        <w:t>评定标准中的管理、技术、工艺等要求，综合考虑申请企业规模、管理水平等</w:t>
      </w:r>
      <w:r>
        <w:rPr>
          <w:rFonts w:hint="default" w:ascii="Times New Roman" w:hAnsi="Times New Roman" w:eastAsia="方正仿宋简体" w:cs="Times New Roman"/>
          <w:color w:val="auto"/>
          <w:sz w:val="32"/>
          <w:szCs w:val="32"/>
          <w:lang w:eastAsia="zh-CN"/>
        </w:rPr>
        <w:t>因素</w:t>
      </w:r>
      <w:r>
        <w:rPr>
          <w:rFonts w:hint="default" w:ascii="Times New Roman" w:hAnsi="Times New Roman" w:eastAsia="方正仿宋简体" w:cs="Times New Roman"/>
          <w:color w:val="auto"/>
          <w:sz w:val="32"/>
          <w:szCs w:val="32"/>
        </w:rPr>
        <w:t>，配足相应的评审人员</w:t>
      </w:r>
      <w:r>
        <w:rPr>
          <w:rFonts w:hint="default" w:ascii="Times New Roman" w:hAnsi="Times New Roman" w:eastAsia="方正仿宋简体" w:cs="Times New Roman"/>
          <w:color w:val="auto"/>
          <w:sz w:val="32"/>
          <w:szCs w:val="32"/>
          <w:lang w:eastAsia="zh-CN"/>
        </w:rPr>
        <w:t>。</w:t>
      </w:r>
    </w:p>
    <w:p>
      <w:pPr>
        <w:numPr>
          <w:ilvl w:val="0"/>
          <w:numId w:val="0"/>
        </w:numPr>
        <w:ind w:firstLine="64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w:t>
      </w:r>
      <w:r>
        <w:rPr>
          <w:rFonts w:hint="default" w:ascii="Times New Roman" w:hAnsi="Times New Roman" w:eastAsia="方正仿宋简体" w:cs="Times New Roman"/>
          <w:sz w:val="32"/>
          <w:szCs w:val="32"/>
          <w:lang w:val="en-US" w:eastAsia="zh-CN"/>
        </w:rPr>
        <w:t>根据企业申请的等级组建与之相适应的现场评审组，其中：二级企业的现场评审人员不得少于5人，其中包括不少于3名评审专家，且至少包括1名本行业或专业的评审专家；三级企业的现场评审人员不得少于3人，其中包括不少于1名本行业或专业的评审专家。评审单位应确定一名评审人员担任评审组长，非本单位评审专家不得担任评审组长。</w:t>
      </w:r>
    </w:p>
    <w:p>
      <w:pPr>
        <w:numPr>
          <w:ilvl w:val="0"/>
          <w:numId w:val="0"/>
        </w:numPr>
        <w:ind w:firstLine="64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（四）</w:t>
      </w:r>
      <w:r>
        <w:rPr>
          <w:rFonts w:hint="default" w:ascii="Times New Roman" w:hAnsi="Times New Roman" w:eastAsia="方正仿宋简体" w:cs="Times New Roman"/>
          <w:sz w:val="32"/>
          <w:szCs w:val="32"/>
          <w:lang w:val="en-US" w:eastAsia="zh-CN"/>
        </w:rPr>
        <w:t>在进行人员询问、现场考核和查证时，评定标准确定查证比例的，应按照评定标准要求进行查证；评定标准未确定查证比例的，在对现场设备设施考核时，按照以下比例进行抽查：同类型设备设施10台以下（以下不包含本数，以上包含本数，下同）的应全部进行考核；10台以上50台以下的按50%比例抽查，但不得少于10台；50台以上的按10%比例抽查，但不得少于25台。对于存在较大危险因素的作业场所应全覆盖。抽查应确保抽样的均衡性、层次性和样本数量的充足，使所抽样本能够反映企业安全生产标准化工作的整体情况。</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五</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color w:val="auto"/>
          <w:sz w:val="32"/>
          <w:szCs w:val="32"/>
        </w:rPr>
        <w:t>评审完成后，评审组长应总结评审情况、宣布评审结论、提出问题和隐患整改方法、完成整改时限及问题和隐患整改完成后的确认时间等内容。</w:t>
      </w:r>
      <w:r>
        <w:rPr>
          <w:rFonts w:hint="default" w:ascii="Times New Roman" w:hAnsi="Times New Roman" w:eastAsia="方正仿宋简体" w:cs="Times New Roman"/>
          <w:color w:val="auto"/>
          <w:sz w:val="32"/>
          <w:szCs w:val="32"/>
          <w:lang w:eastAsia="zh-CN"/>
        </w:rPr>
        <w:t>评审组</w:t>
      </w:r>
      <w:r>
        <w:rPr>
          <w:rFonts w:hint="default" w:ascii="Times New Roman" w:hAnsi="Times New Roman" w:eastAsia="方正仿宋简体" w:cs="Times New Roman"/>
          <w:color w:val="auto"/>
          <w:sz w:val="32"/>
          <w:szCs w:val="32"/>
          <w:lang w:val="en-US" w:eastAsia="zh-CN"/>
        </w:rPr>
        <w:t>将评审情况及不符合项等形成</w:t>
      </w:r>
      <w:r>
        <w:rPr>
          <w:rFonts w:hint="eastAsia" w:ascii="Times New Roman" w:hAnsi="Times New Roman" w:eastAsia="方正仿宋简体" w:cs="Times New Roman"/>
          <w:color w:val="auto"/>
          <w:sz w:val="32"/>
          <w:szCs w:val="32"/>
          <w:lang w:val="en-US" w:eastAsia="zh-CN"/>
        </w:rPr>
        <w:t>现场</w:t>
      </w:r>
      <w:r>
        <w:rPr>
          <w:rFonts w:hint="default" w:ascii="Times New Roman" w:hAnsi="Times New Roman" w:eastAsia="方正仿宋简体" w:cs="Times New Roman"/>
          <w:color w:val="auto"/>
          <w:sz w:val="32"/>
          <w:szCs w:val="32"/>
          <w:lang w:val="en-US" w:eastAsia="zh-CN"/>
        </w:rPr>
        <w:t>评审</w:t>
      </w:r>
      <w:r>
        <w:rPr>
          <w:rFonts w:hint="eastAsia" w:ascii="Times New Roman" w:hAnsi="Times New Roman" w:eastAsia="方正仿宋简体" w:cs="Times New Roman"/>
          <w:color w:val="auto"/>
          <w:sz w:val="32"/>
          <w:szCs w:val="32"/>
          <w:lang w:val="en-US" w:eastAsia="zh-CN"/>
        </w:rPr>
        <w:t>问题清单</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全体成员须在评审结论上签字</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sz w:val="32"/>
          <w:szCs w:val="32"/>
          <w:lang w:val="en-US" w:eastAsia="zh-CN"/>
        </w:rPr>
        <w:t>初步确定企业是否达到拟申请的等级，并书面告知企业。</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六</w:t>
      </w:r>
      <w:r>
        <w:rPr>
          <w:rFonts w:hint="default" w:ascii="Times New Roman" w:hAnsi="Times New Roman" w:eastAsia="方正仿宋简体" w:cs="Times New Roman"/>
          <w:sz w:val="32"/>
          <w:szCs w:val="32"/>
          <w:lang w:val="en-US" w:eastAsia="zh-CN"/>
        </w:rPr>
        <w:t>）企业收到评审报告后，制定问题和隐患整改计划，应当在20个工作日内完成不符合项整改工作，并将整改情况报告评审组，申请进行</w:t>
      </w:r>
      <w:r>
        <w:rPr>
          <w:rFonts w:hint="eastAsia" w:ascii="Times New Roman" w:hAnsi="Times New Roman" w:eastAsia="方正仿宋简体" w:cs="Times New Roman"/>
          <w:sz w:val="32"/>
          <w:szCs w:val="32"/>
          <w:lang w:val="en-US" w:eastAsia="zh-CN"/>
        </w:rPr>
        <w:t>现场</w:t>
      </w:r>
      <w:r>
        <w:rPr>
          <w:rFonts w:hint="default" w:ascii="Times New Roman" w:hAnsi="Times New Roman" w:eastAsia="方正仿宋简体" w:cs="Times New Roman"/>
          <w:sz w:val="32"/>
          <w:szCs w:val="32"/>
          <w:lang w:val="en-US" w:eastAsia="zh-CN"/>
        </w:rPr>
        <w:t>复核。现场复核人员不得少于2人且至少配备1名本行业评审专家，双方应在企业整改计划和整改确认表上签字盖章，方可编制评审报告</w:t>
      </w:r>
      <w:r>
        <w:rPr>
          <w:rFonts w:hint="eastAsia" w:ascii="Times New Roman" w:hAnsi="Times New Roman" w:eastAsia="方正仿宋简体" w:cs="Times New Roman"/>
          <w:sz w:val="32"/>
          <w:szCs w:val="32"/>
          <w:lang w:val="en-US" w:eastAsia="zh-CN"/>
        </w:rPr>
        <w:t>（见附件2）</w:t>
      </w:r>
      <w:r>
        <w:rPr>
          <w:rFonts w:hint="default" w:ascii="Times New Roman" w:hAnsi="Times New Roman" w:eastAsia="方正仿宋简体" w:cs="Times New Roman"/>
          <w:sz w:val="32"/>
          <w:szCs w:val="32"/>
          <w:lang w:val="en-US" w:eastAsia="zh-CN"/>
        </w:rPr>
        <w:t>。</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七</w:t>
      </w:r>
      <w:r>
        <w:rPr>
          <w:rFonts w:hint="default" w:ascii="Times New Roman" w:hAnsi="Times New Roman" w:eastAsia="方正仿宋简体" w:cs="Times New Roman"/>
          <w:sz w:val="32"/>
          <w:szCs w:val="32"/>
          <w:lang w:val="en-US" w:eastAsia="zh-CN"/>
        </w:rPr>
        <w:t>）企业整改时间不得超过</w:t>
      </w:r>
      <w:r>
        <w:rPr>
          <w:rFonts w:hint="eastAsia" w:ascii="Times New Roman" w:hAnsi="Times New Roman" w:eastAsia="方正仿宋简体" w:cs="Times New Roman"/>
          <w:sz w:val="32"/>
          <w:szCs w:val="32"/>
          <w:lang w:val="en-US" w:eastAsia="zh-CN"/>
        </w:rPr>
        <w:t>20个工作日</w:t>
      </w:r>
      <w:r>
        <w:rPr>
          <w:rFonts w:hint="default" w:ascii="Times New Roman" w:hAnsi="Times New Roman" w:eastAsia="方正仿宋简体" w:cs="Times New Roman"/>
          <w:sz w:val="32"/>
          <w:szCs w:val="32"/>
          <w:lang w:val="en-US" w:eastAsia="zh-CN"/>
        </w:rPr>
        <w:t>，对一时无法完成整改的，企业应采取现场安全防范措施，出具书面说明和落实防范措施确保生产安全的承诺。特殊情况下，经组织单位</w:t>
      </w:r>
      <w:r>
        <w:rPr>
          <w:rFonts w:hint="eastAsia" w:ascii="Times New Roman" w:hAnsi="Times New Roman" w:eastAsia="方正仿宋简体" w:cs="Times New Roman"/>
          <w:sz w:val="32"/>
          <w:szCs w:val="32"/>
          <w:lang w:val="en-US" w:eastAsia="zh-CN"/>
        </w:rPr>
        <w:t>同意</w:t>
      </w:r>
      <w:r>
        <w:rPr>
          <w:rFonts w:hint="default" w:ascii="Times New Roman" w:hAnsi="Times New Roman" w:eastAsia="方正仿宋简体" w:cs="Times New Roman"/>
          <w:sz w:val="32"/>
          <w:szCs w:val="32"/>
          <w:lang w:val="en-US" w:eastAsia="zh-CN"/>
        </w:rPr>
        <w:t>，整改期限可以适当延长，但延长的期限最长不超过20个工作日。企业未在规定期限内完成整改的，视为整改不合格。现场核查不合格的企业，自核查之日起一年内不再受理。评审过程中，如发现企业存在重大隐患，应终止评审并立即报告组织单位和</w:t>
      </w:r>
      <w:r>
        <w:rPr>
          <w:rFonts w:hint="eastAsia" w:ascii="Times New Roman" w:hAnsi="Times New Roman" w:eastAsia="方正仿宋简体" w:cs="Times New Roman"/>
          <w:sz w:val="32"/>
          <w:szCs w:val="32"/>
          <w:lang w:val="en-US" w:eastAsia="zh-CN"/>
        </w:rPr>
        <w:t>定级</w:t>
      </w:r>
      <w:r>
        <w:rPr>
          <w:rFonts w:hint="default" w:ascii="Times New Roman" w:hAnsi="Times New Roman" w:eastAsia="方正仿宋简体" w:cs="Times New Roman"/>
          <w:sz w:val="32"/>
          <w:szCs w:val="32"/>
          <w:lang w:val="en-US" w:eastAsia="zh-CN"/>
        </w:rPr>
        <w:t>部门。</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八</w:t>
      </w:r>
      <w:r>
        <w:rPr>
          <w:rFonts w:hint="default" w:ascii="Times New Roman" w:hAnsi="Times New Roman" w:eastAsia="方正仿宋简体" w:cs="Times New Roman"/>
          <w:sz w:val="32"/>
          <w:szCs w:val="32"/>
          <w:lang w:val="en-US" w:eastAsia="zh-CN"/>
        </w:rPr>
        <w:t>）评审单位通过信息管理系统向定级组织单位提交与签字盖章纸质评审报告一致的PDF版评审报告，审核通过后提交纸质版评审报告，审核未通过的退回评审单位，并在信息管理系统中说明理由。</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评审报告的编制要内容真实、要件齐全、表述清晰、顺序正确、胶装规整。报告中所附评审照片应能完整体现出现场评审人员数量和现场评审真实情况。报告必须由评审组成员本人签字，不得代签和使用复印件，日期应填写完整。</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评审单位应严格执行评审报告质量内部审核程序，保留审核稿修改过程的原件，确保内部质量管控行为真实可查。评审报告保存期3年。</w:t>
      </w:r>
    </w:p>
    <w:p>
      <w:pPr>
        <w:numPr>
          <w:ilvl w:val="0"/>
          <w:numId w:val="0"/>
        </w:numPr>
        <w:ind w:firstLine="64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eastAsia="zh-CN"/>
        </w:rPr>
        <w:t>（九）各级定级部门委托组织单位组织专家参照上述现场评审程序和要求执行。</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十六</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b/>
          <w:bCs/>
          <w:sz w:val="32"/>
          <w:szCs w:val="32"/>
          <w:lang w:val="en-US" w:eastAsia="zh-CN"/>
        </w:rPr>
        <w:t xml:space="preserve">  公示。</w:t>
      </w:r>
      <w:r>
        <w:rPr>
          <w:rFonts w:hint="default" w:ascii="Times New Roman" w:hAnsi="Times New Roman" w:eastAsia="方正仿宋简体" w:cs="Times New Roman"/>
          <w:sz w:val="32"/>
          <w:szCs w:val="32"/>
          <w:lang w:val="en-US" w:eastAsia="zh-CN"/>
        </w:rPr>
        <w:t>组织单位将确认整改合格、符合相应定级标准的企业名单定期报送相应定级部门；定级部门确认后，在本级政府或者本部门网站向社会公示，接受社会监督，公示时间不少于7个工作日。</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公示期间，收到企业存在不符合定级标准以及其他相关要求问题反映的，定级部门应当组织核实。</w:t>
      </w:r>
    </w:p>
    <w:p>
      <w:pPr>
        <w:numPr>
          <w:ilvl w:val="0"/>
          <w:numId w:val="0"/>
        </w:numP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 xml:space="preserve">    </w:t>
      </w: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十七</w:t>
      </w:r>
      <w:r>
        <w:rPr>
          <w:rFonts w:hint="default" w:ascii="方正黑体简体" w:hAnsi="方正黑体简体" w:eastAsia="方正黑体简体" w:cs="方正黑体简体"/>
          <w:sz w:val="32"/>
          <w:szCs w:val="32"/>
          <w:lang w:val="en-US" w:eastAsia="zh-CN"/>
        </w:rPr>
        <w:t xml:space="preserve">条 </w:t>
      </w:r>
      <w:r>
        <w:rPr>
          <w:rFonts w:hint="default" w:ascii="Times New Roman" w:hAnsi="Times New Roman" w:eastAsia="方正仿宋简体" w:cs="Times New Roman"/>
          <w:b/>
          <w:bCs/>
          <w:sz w:val="32"/>
          <w:szCs w:val="32"/>
          <w:lang w:val="en-US" w:eastAsia="zh-CN"/>
        </w:rPr>
        <w:t xml:space="preserve"> 公告。</w:t>
      </w:r>
      <w:r>
        <w:rPr>
          <w:rFonts w:hint="default" w:ascii="Times New Roman" w:hAnsi="Times New Roman" w:eastAsia="方正仿宋简体" w:cs="Times New Roman"/>
          <w:sz w:val="32"/>
          <w:szCs w:val="32"/>
          <w:lang w:val="en-US" w:eastAsia="zh-CN"/>
        </w:rPr>
        <w:t>对公示无异议或者经核实不存在所反映问题的企业，定级部门应当确认其等级</w:t>
      </w:r>
      <w:r>
        <w:rPr>
          <w:rFonts w:hint="eastAsia" w:ascii="Times New Roman" w:hAnsi="Times New Roman" w:eastAsia="方正仿宋简体" w:cs="Times New Roman"/>
          <w:sz w:val="32"/>
          <w:szCs w:val="32"/>
          <w:lang w:val="en-US" w:eastAsia="zh-CN"/>
        </w:rPr>
        <w:t>，并</w:t>
      </w:r>
      <w:r>
        <w:rPr>
          <w:rFonts w:hint="default" w:ascii="Times New Roman" w:hAnsi="Times New Roman" w:eastAsia="方正仿宋简体" w:cs="Times New Roman"/>
          <w:sz w:val="32"/>
          <w:szCs w:val="32"/>
          <w:lang w:val="en-US" w:eastAsia="zh-CN"/>
        </w:rPr>
        <w:t>予以公告，并抄送同级工业和信息化、人力资源社会保障、国有资产监督管理、市场监督管理等部门和工会组织，以及相应银行保险和证券监督管理机构。</w:t>
      </w:r>
    </w:p>
    <w:p>
      <w:pPr>
        <w:numPr>
          <w:ilvl w:val="0"/>
          <w:numId w:val="0"/>
        </w:numP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对未予公告的企业，由定级部门书面告知其未通过定级，并说明理由。</w:t>
      </w:r>
    </w:p>
    <w:p>
      <w:pPr>
        <w:numPr>
          <w:ilvl w:val="0"/>
          <w:numId w:val="0"/>
        </w:numPr>
        <w:ind w:firstLine="64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十八</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sz w:val="32"/>
          <w:szCs w:val="32"/>
          <w:lang w:val="en-US" w:eastAsia="zh-CN"/>
        </w:rPr>
        <w:t xml:space="preserve">  企业标准化等级有效期为3年。   </w:t>
      </w:r>
    </w:p>
    <w:p>
      <w:pPr>
        <w:numPr>
          <w:ilvl w:val="0"/>
          <w:numId w:val="0"/>
        </w:numPr>
        <w:ind w:firstLine="640"/>
        <w:rPr>
          <w:rFonts w:hint="default" w:ascii="Times New Roman" w:hAnsi="Times New Roman" w:eastAsia="方正仿宋简体" w:cs="Times New Roman"/>
          <w:color w:val="FF0000"/>
          <w:sz w:val="32"/>
          <w:szCs w:val="32"/>
          <w:lang w:val="en-US" w:eastAsia="zh-CN"/>
        </w:rPr>
      </w:pPr>
      <w:r>
        <w:rPr>
          <w:rFonts w:hint="eastAsia" w:ascii="方正黑体简体" w:hAnsi="方正黑体简体" w:eastAsia="方正黑体简体" w:cs="方正黑体简体"/>
          <w:sz w:val="32"/>
          <w:szCs w:val="32"/>
          <w:lang w:val="en-US" w:eastAsia="zh-CN"/>
        </w:rPr>
        <w:t xml:space="preserve">第十九条  </w:t>
      </w:r>
      <w:r>
        <w:rPr>
          <w:rFonts w:hint="default" w:ascii="Times New Roman" w:hAnsi="Times New Roman" w:eastAsia="方正仿宋简体" w:cs="Times New Roman"/>
          <w:sz w:val="32"/>
          <w:szCs w:val="32"/>
          <w:lang w:val="en-US" w:eastAsia="zh-CN"/>
        </w:rPr>
        <w:t>已</w:t>
      </w:r>
      <w:r>
        <w:rPr>
          <w:rFonts w:hint="default" w:ascii="Times New Roman" w:hAnsi="Times New Roman" w:eastAsia="方正仿宋简体" w:cs="Times New Roman"/>
          <w:color w:val="auto"/>
          <w:sz w:val="32"/>
          <w:szCs w:val="32"/>
          <w:lang w:val="en-US" w:eastAsia="zh-CN"/>
        </w:rPr>
        <w:t>经取得标准化等级的企业，可以在有效期届满前3个月再次按照本办法第</w:t>
      </w:r>
      <w:r>
        <w:rPr>
          <w:rFonts w:hint="eastAsia" w:ascii="Times New Roman" w:hAnsi="Times New Roman" w:eastAsia="方正仿宋简体" w:cs="Times New Roman"/>
          <w:color w:val="auto"/>
          <w:sz w:val="32"/>
          <w:szCs w:val="32"/>
          <w:lang w:val="en-US" w:eastAsia="zh-CN"/>
        </w:rPr>
        <w:t>十三</w:t>
      </w:r>
      <w:r>
        <w:rPr>
          <w:rFonts w:hint="default" w:ascii="Times New Roman" w:hAnsi="Times New Roman" w:eastAsia="方正仿宋简体" w:cs="Times New Roman"/>
          <w:color w:val="auto"/>
          <w:sz w:val="32"/>
          <w:szCs w:val="32"/>
          <w:lang w:val="en-US" w:eastAsia="zh-CN"/>
        </w:rPr>
        <w:t>条规定的程序申请定级。</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对</w:t>
      </w:r>
      <w:r>
        <w:rPr>
          <w:rFonts w:hint="eastAsia" w:ascii="Times New Roman" w:hAnsi="Times New Roman" w:eastAsia="方正仿宋简体" w:cs="Times New Roman"/>
          <w:sz w:val="32"/>
          <w:szCs w:val="32"/>
          <w:lang w:val="en-US" w:eastAsia="zh-CN"/>
        </w:rPr>
        <w:t>再次</w:t>
      </w:r>
      <w:r>
        <w:rPr>
          <w:rFonts w:hint="default" w:ascii="Times New Roman" w:hAnsi="Times New Roman" w:eastAsia="方正仿宋简体" w:cs="Times New Roman"/>
          <w:sz w:val="32"/>
          <w:szCs w:val="32"/>
          <w:lang w:val="en-US" w:eastAsia="zh-CN"/>
        </w:rPr>
        <w:t>申请</w:t>
      </w:r>
      <w:r>
        <w:rPr>
          <w:rFonts w:hint="eastAsia" w:ascii="Times New Roman" w:hAnsi="Times New Roman" w:eastAsia="方正仿宋简体" w:cs="Times New Roman"/>
          <w:sz w:val="32"/>
          <w:szCs w:val="32"/>
          <w:lang w:val="en-US" w:eastAsia="zh-CN"/>
        </w:rPr>
        <w:t>原等</w:t>
      </w:r>
      <w:r>
        <w:rPr>
          <w:rFonts w:hint="default" w:ascii="Times New Roman" w:hAnsi="Times New Roman" w:eastAsia="方正仿宋简体" w:cs="Times New Roman"/>
          <w:sz w:val="32"/>
          <w:szCs w:val="32"/>
          <w:lang w:val="en-US" w:eastAsia="zh-CN"/>
        </w:rPr>
        <w:t>级的企业，在标准化等级有效期内符合以下条件的，经定级部门确认后，直接予以公示和公告：</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（一）有效期内未发生死亡事故。</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（二）有效期内二级、三级企业未发生总计重伤5人及以上或者直接经济损失总计500万元及以上的生产安全事故。</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（三）应急管理部门在周期性安全生产标准化检查或安全检查工作中，未发现企业安全管理存在突出问题或者重大隐患。</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（四）未发生造成重大社会不良影响的事件。</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（五）所属行业定级相关标准未作重大修订。</w:t>
      </w:r>
      <w:bookmarkStart w:id="0" w:name="_GoBack"/>
      <w:bookmarkEnd w:id="0"/>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（六）生产工艺、使用设备、安全设施、产品、原辅材料、生产场所布局等无重大变化，无新建、改建、扩建工程项目，未扩大生产经营许可范围。</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（七）有效期内未存在因安全生产领域失信行为被实施联合惩戒。</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（八）按照规定每年提交自评报告并在企业内部公示。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（九）</w:t>
      </w:r>
      <w:r>
        <w:rPr>
          <w:rFonts w:hint="eastAsia" w:ascii="Times New Roman" w:hAnsi="Times New Roman" w:eastAsia="方正仿宋简体" w:cs="Times New Roman"/>
          <w:sz w:val="32"/>
          <w:szCs w:val="32"/>
          <w:lang w:val="en-US" w:eastAsia="zh-CN"/>
        </w:rPr>
        <w:t>组织</w:t>
      </w:r>
      <w:r>
        <w:rPr>
          <w:rFonts w:hint="default" w:ascii="Times New Roman" w:hAnsi="Times New Roman" w:eastAsia="方正仿宋简体" w:cs="Times New Roman"/>
          <w:sz w:val="32"/>
          <w:szCs w:val="32"/>
          <w:lang w:val="en-US" w:eastAsia="zh-CN"/>
        </w:rPr>
        <w:t>建立并运行安全</w:t>
      </w:r>
      <w:r>
        <w:rPr>
          <w:rFonts w:hint="eastAsia" w:ascii="Times New Roman" w:hAnsi="Times New Roman" w:eastAsia="方正仿宋简体" w:cs="Times New Roman"/>
          <w:sz w:val="32"/>
          <w:szCs w:val="32"/>
          <w:lang w:val="en-US" w:eastAsia="zh-CN"/>
        </w:rPr>
        <w:t>风险分级管控和</w:t>
      </w:r>
      <w:r>
        <w:rPr>
          <w:rFonts w:hint="default" w:ascii="Times New Roman" w:hAnsi="Times New Roman" w:eastAsia="方正仿宋简体" w:cs="Times New Roman"/>
          <w:sz w:val="32"/>
          <w:szCs w:val="32"/>
          <w:lang w:val="en-US" w:eastAsia="zh-CN"/>
        </w:rPr>
        <w:t>隐患排查治理</w:t>
      </w:r>
      <w:r>
        <w:rPr>
          <w:rFonts w:hint="eastAsia" w:ascii="Times New Roman" w:hAnsi="Times New Roman" w:eastAsia="方正仿宋简体" w:cs="Times New Roman"/>
          <w:sz w:val="32"/>
          <w:szCs w:val="32"/>
          <w:lang w:val="en-US" w:eastAsia="zh-CN"/>
        </w:rPr>
        <w:t>机制</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四</w:t>
      </w:r>
      <w:r>
        <w:rPr>
          <w:rFonts w:hint="default" w:ascii="方正黑体简体" w:hAnsi="方正黑体简体" w:eastAsia="方正黑体简体" w:cs="方正黑体简体"/>
          <w:sz w:val="32"/>
          <w:szCs w:val="32"/>
          <w:lang w:val="en-US" w:eastAsia="zh-CN"/>
        </w:rPr>
        <w:t>章  监督检查</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二</w:t>
      </w:r>
      <w:r>
        <w:rPr>
          <w:rFonts w:hint="default" w:ascii="方正黑体简体" w:hAnsi="方正黑体简体" w:eastAsia="方正黑体简体" w:cs="方正黑体简体"/>
          <w:sz w:val="32"/>
          <w:szCs w:val="32"/>
          <w:lang w:val="en-US" w:eastAsia="zh-CN"/>
        </w:rPr>
        <w:t>十条</w:t>
      </w:r>
      <w:r>
        <w:rPr>
          <w:rFonts w:hint="default" w:ascii="Times New Roman" w:hAnsi="Times New Roman" w:eastAsia="方正仿宋简体" w:cs="Times New Roman"/>
          <w:i w:val="0"/>
          <w:caps w:val="0"/>
          <w:color w:val="444444"/>
          <w:spacing w:val="0"/>
          <w:kern w:val="0"/>
          <w:sz w:val="32"/>
          <w:szCs w:val="32"/>
          <w:shd w:val="clear" w:color="auto" w:fill="FFFFFF"/>
          <w:lang w:val="en-US" w:eastAsia="zh-CN" w:bidi="ar"/>
        </w:rPr>
        <w:t> </w:t>
      </w:r>
      <w:r>
        <w:rPr>
          <w:rFonts w:hint="eastAsia" w:ascii="Times New Roman" w:hAnsi="Times New Roman" w:eastAsia="方正仿宋简体" w:cs="Times New Roman"/>
          <w:i w:val="0"/>
          <w:caps w:val="0"/>
          <w:color w:val="444444"/>
          <w:spacing w:val="0"/>
          <w:kern w:val="0"/>
          <w:sz w:val="32"/>
          <w:szCs w:val="32"/>
          <w:shd w:val="clear" w:color="auto" w:fill="FFFFFF"/>
          <w:lang w:val="en-US" w:eastAsia="zh-CN" w:bidi="ar"/>
        </w:rPr>
        <w:t xml:space="preserve"> </w:t>
      </w:r>
      <w:r>
        <w:rPr>
          <w:rFonts w:hint="default" w:ascii="Times New Roman" w:hAnsi="Times New Roman" w:eastAsia="方正仿宋简体" w:cs="Times New Roman"/>
          <w:sz w:val="32"/>
          <w:szCs w:val="32"/>
          <w:lang w:val="en-US" w:eastAsia="zh-CN"/>
        </w:rPr>
        <w:t>各级应急管理部门在日常监管执法工作中，发现企业存在以下情形之一的，应当立即告知并由原定级部门撤销其等级。原定级部门应当予以公告并同时抄送同级工业和信息化、人力资源社会保障、国有资产监督管理、市场监督管理等部门和工会组织，以及相应银行保险和证券监督管理机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（一）发生生产安全死亡事故的。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w:t>
      </w:r>
      <w:r>
        <w:rPr>
          <w:rFonts w:hint="eastAsia" w:ascii="Times New Roman" w:hAnsi="Times New Roman" w:eastAsia="方正仿宋简体" w:cs="Times New Roman"/>
          <w:sz w:val="32"/>
          <w:szCs w:val="32"/>
          <w:lang w:val="en-US" w:eastAsia="zh-CN"/>
        </w:rPr>
        <w:t>连续12个月内发生重伤3人及以上或者直接经济损失</w:t>
      </w:r>
      <w:r>
        <w:rPr>
          <w:rFonts w:hint="default" w:ascii="Times New Roman" w:hAnsi="Times New Roman" w:eastAsia="方正仿宋简体" w:cs="Times New Roman"/>
          <w:sz w:val="32"/>
          <w:szCs w:val="32"/>
          <w:lang w:val="en-US" w:eastAsia="zh-CN"/>
        </w:rPr>
        <w:t>总计</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00万元及以上的生产安全事故的。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（三）发生造成重大社会不良影响事件的。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（四）瞒报、谎报、迟报、漏报生产安全事故的。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（五）被列入安全生产失信惩戒名单的。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（六）提供虚假材料，或者以其他不正当手段取得标准化等级的。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（七）行政许可证照注销、吊销、撤销的，或者不再从事相关行业生产经营活动的。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（八）存在重大生产安全事故隐患,未在规定期限内完成整改的。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（九）未按照标准化管理体系持续、有效运行，情节严重的。</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第二十</w:t>
      </w:r>
      <w:r>
        <w:rPr>
          <w:rFonts w:hint="eastAsia" w:ascii="方正黑体简体" w:hAnsi="方正黑体简体" w:eastAsia="方正黑体简体" w:cs="方正黑体简体"/>
          <w:sz w:val="32"/>
          <w:szCs w:val="32"/>
          <w:lang w:val="en-US" w:eastAsia="zh-CN"/>
        </w:rPr>
        <w:t>一</w:t>
      </w:r>
      <w:r>
        <w:rPr>
          <w:rFonts w:hint="default" w:ascii="方正黑体简体" w:hAnsi="方正黑体简体" w:eastAsia="方正黑体简体" w:cs="方正黑体简体"/>
          <w:sz w:val="32"/>
          <w:szCs w:val="32"/>
          <w:lang w:val="en-US" w:eastAsia="zh-CN"/>
        </w:rPr>
        <w:t xml:space="preserve">条 </w:t>
      </w:r>
      <w:r>
        <w:rPr>
          <w:rFonts w:hint="default" w:ascii="Times New Roman" w:hAnsi="Times New Roman" w:eastAsia="方正仿宋简体" w:cs="Times New Roman"/>
          <w:i w:val="0"/>
          <w:caps w:val="0"/>
          <w:color w:val="444444"/>
          <w:spacing w:val="0"/>
          <w:kern w:val="0"/>
          <w:sz w:val="32"/>
          <w:szCs w:val="32"/>
          <w:shd w:val="clear" w:color="auto" w:fill="FFFFFF"/>
          <w:lang w:val="en-US" w:eastAsia="zh-CN" w:bidi="ar"/>
        </w:rPr>
        <w:t xml:space="preserve"> </w:t>
      </w:r>
      <w:r>
        <w:rPr>
          <w:rFonts w:hint="default" w:ascii="Times New Roman" w:hAnsi="Times New Roman" w:eastAsia="方正仿宋简体" w:cs="Times New Roman"/>
          <w:sz w:val="32"/>
          <w:szCs w:val="32"/>
          <w:lang w:val="en-US" w:eastAsia="zh-CN"/>
        </w:rPr>
        <w:t>组织单位和评审单位及其人员不得参与被评审企业的标准化培训、咨询相关工作。</w:t>
      </w:r>
      <w:r>
        <w:rPr>
          <w:rFonts w:hint="eastAsia" w:ascii="Times New Roman" w:hAnsi="Times New Roman" w:eastAsia="方正仿宋简体" w:cs="Times New Roman"/>
          <w:sz w:val="32"/>
          <w:szCs w:val="32"/>
          <w:lang w:val="en-US" w:eastAsia="zh-CN"/>
        </w:rPr>
        <w:t>如出现违反此项规定的行为，有关单位取消评审资格，有关人员2年内不得参与标准化定级工作。</w:t>
      </w:r>
    </w:p>
    <w:p>
      <w:pPr>
        <w:ind w:left="0" w:leftChars="0" w:firstLine="640" w:firstLineChars="200"/>
        <w:rPr>
          <w:rFonts w:hint="default" w:ascii="Times New Roman" w:hAnsi="Times New Roman" w:eastAsia="方正仿宋简体" w:cs="Times New Roman"/>
          <w:sz w:val="32"/>
          <w:szCs w:val="32"/>
          <w:lang w:val="en-US" w:eastAsia="zh-CN"/>
        </w:rPr>
      </w:pPr>
      <w:r>
        <w:rPr>
          <w:rFonts w:hint="default" w:ascii="方正黑体简体" w:hAnsi="方正黑体简体" w:eastAsia="方正黑体简体" w:cs="方正黑体简体"/>
          <w:sz w:val="32"/>
          <w:szCs w:val="32"/>
          <w:lang w:val="en-US" w:eastAsia="zh-CN"/>
        </w:rPr>
        <w:t>第二十</w:t>
      </w:r>
      <w:r>
        <w:rPr>
          <w:rFonts w:hint="eastAsia" w:ascii="方正黑体简体" w:hAnsi="方正黑体简体" w:eastAsia="方正黑体简体" w:cs="方正黑体简体"/>
          <w:sz w:val="32"/>
          <w:szCs w:val="32"/>
          <w:lang w:val="en-US" w:eastAsia="zh-CN"/>
        </w:rPr>
        <w:t>二</w:t>
      </w:r>
      <w:r>
        <w:rPr>
          <w:rFonts w:hint="default" w:ascii="方正黑体简体" w:hAnsi="方正黑体简体" w:eastAsia="方正黑体简体" w:cs="方正黑体简体"/>
          <w:sz w:val="32"/>
          <w:szCs w:val="32"/>
          <w:lang w:val="en-US" w:eastAsia="zh-CN"/>
        </w:rPr>
        <w:t>条</w:t>
      </w:r>
      <w:r>
        <w:rPr>
          <w:rFonts w:hint="default" w:ascii="Times New Roman" w:hAnsi="Times New Roman" w:eastAsia="方正仿宋简体" w:cs="Times New Roman"/>
          <w:sz w:val="32"/>
          <w:szCs w:val="32"/>
          <w:lang w:val="en-US" w:eastAsia="zh-CN"/>
        </w:rPr>
        <w:t>   各级定级部门应当加强对组织单位和负责现场评审的单位及其人员的监督管理，对标准化相关材料进行抽查，发现存在审核把关不严、现场评审结论失实、报告抄袭雷同或有明显错误等问题的，约谈有关单位主要负责人；发现组织单位和负责现场评审的单位及其人员参与被评审企业的标准化培训、咨询相关工作，或存在收取企业费用、出具虚假报告等行为的，取消有关单位资格，依法依规严肃处理。</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第</w:t>
      </w:r>
      <w:r>
        <w:rPr>
          <w:rFonts w:hint="eastAsia" w:ascii="方正黑体简体" w:hAnsi="方正黑体简体" w:eastAsia="方正黑体简体" w:cs="方正黑体简体"/>
          <w:sz w:val="32"/>
          <w:szCs w:val="32"/>
          <w:lang w:val="en-US" w:eastAsia="zh-CN"/>
        </w:rPr>
        <w:t>五</w:t>
      </w:r>
      <w:r>
        <w:rPr>
          <w:rFonts w:hint="default" w:ascii="方正黑体简体" w:hAnsi="方正黑体简体" w:eastAsia="方正黑体简体" w:cs="方正黑体简体"/>
          <w:sz w:val="32"/>
          <w:szCs w:val="32"/>
          <w:lang w:val="en-US" w:eastAsia="zh-CN"/>
        </w:rPr>
        <w:t>章   附</w:t>
      </w:r>
      <w:r>
        <w:rPr>
          <w:rFonts w:hint="eastAsia" w:ascii="方正黑体简体" w:hAnsi="方正黑体简体" w:eastAsia="方正黑体简体" w:cs="方正黑体简体"/>
          <w:sz w:val="32"/>
          <w:szCs w:val="32"/>
          <w:lang w:val="en-US" w:eastAsia="zh-CN"/>
        </w:rPr>
        <w:t>则</w:t>
      </w:r>
    </w:p>
    <w:p>
      <w:pPr>
        <w:ind w:left="0" w:leftChars="0" w:firstLine="640" w:firstLineChars="200"/>
        <w:rPr>
          <w:rFonts w:hint="default" w:ascii="Times New Roman" w:hAnsi="Times New Roman" w:eastAsia="方正仿宋简体" w:cs="Times New Roman"/>
          <w:sz w:val="32"/>
          <w:szCs w:val="32"/>
          <w:lang w:val="en-US" w:eastAsia="zh-CN"/>
        </w:rPr>
      </w:pPr>
      <w:r>
        <w:rPr>
          <w:rFonts w:hint="eastAsia" w:ascii="方正黑体简体" w:hAnsi="方正黑体简体" w:eastAsia="方正黑体简体" w:cs="方正黑体简体"/>
          <w:sz w:val="32"/>
          <w:szCs w:val="32"/>
          <w:lang w:val="en-US" w:eastAsia="zh-CN"/>
        </w:rPr>
        <w:t xml:space="preserve">第二十三条  </w:t>
      </w:r>
      <w:r>
        <w:rPr>
          <w:rFonts w:hint="default" w:ascii="Times New Roman" w:hAnsi="Times New Roman" w:eastAsia="方正仿宋简体" w:cs="Times New Roman"/>
          <w:sz w:val="32"/>
          <w:szCs w:val="32"/>
          <w:lang w:val="en-US" w:eastAsia="zh-CN"/>
        </w:rPr>
        <w:t>本</w:t>
      </w:r>
      <w:r>
        <w:rPr>
          <w:rFonts w:hint="eastAsia" w:ascii="Times New Roman" w:hAnsi="Times New Roman" w:eastAsia="方正仿宋简体" w:cs="Times New Roman"/>
          <w:sz w:val="32"/>
          <w:szCs w:val="32"/>
          <w:lang w:val="en-US" w:eastAsia="zh-CN"/>
        </w:rPr>
        <w:t>实施</w:t>
      </w:r>
      <w:r>
        <w:rPr>
          <w:rFonts w:hint="default" w:ascii="Times New Roman" w:hAnsi="Times New Roman" w:eastAsia="方正仿宋简体" w:cs="Times New Roman"/>
          <w:sz w:val="32"/>
          <w:szCs w:val="32"/>
          <w:lang w:val="en-US" w:eastAsia="zh-CN"/>
        </w:rPr>
        <w:t>办法由省应急</w:t>
      </w:r>
      <w:r>
        <w:rPr>
          <w:rFonts w:hint="eastAsia" w:ascii="Times New Roman" w:hAnsi="Times New Roman" w:eastAsia="方正仿宋简体" w:cs="Times New Roman"/>
          <w:sz w:val="32"/>
          <w:szCs w:val="32"/>
          <w:lang w:val="en-US" w:eastAsia="zh-CN"/>
        </w:rPr>
        <w:t>管理</w:t>
      </w:r>
      <w:r>
        <w:rPr>
          <w:rFonts w:hint="default" w:ascii="Times New Roman" w:hAnsi="Times New Roman" w:eastAsia="方正仿宋简体" w:cs="Times New Roman"/>
          <w:sz w:val="32"/>
          <w:szCs w:val="32"/>
          <w:lang w:val="en-US" w:eastAsia="zh-CN"/>
        </w:rPr>
        <w:t>厅负责解释，自2022年**月**日起施行</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《辽宁省工贸行业安全生产标准化建设监督管理办法（试行）》（辽应急规范〔2020〕1号）同时废止。</w:t>
      </w:r>
    </w:p>
    <w:p>
      <w:pPr>
        <w:ind w:left="0" w:leftChars="0" w:firstLine="640" w:firstLineChars="200"/>
        <w:rPr>
          <w:rFonts w:hint="eastAsia" w:ascii="仿宋" w:hAnsi="仿宋" w:eastAsia="仿宋" w:cs="仿宋"/>
          <w:sz w:val="32"/>
          <w:szCs w:val="32"/>
          <w:lang w:val="en-US" w:eastAsia="zh-CN"/>
        </w:rPr>
      </w:pP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附件：1.企业安全生产标准化自评报告</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2.企业安全生产标准化现场评审报告</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3.企业安全生产标准化证书样式</w:t>
      </w:r>
    </w:p>
    <w:p>
      <w:pPr>
        <w:widowControl/>
        <w:adjustRightInd w:val="0"/>
        <w:snapToGrid w:val="0"/>
        <w:spacing w:line="560" w:lineRule="exact"/>
        <w:rPr>
          <w:rFonts w:ascii="仿宋_GB2312"/>
          <w:sz w:val="30"/>
          <w:szCs w:val="30"/>
        </w:rPr>
      </w:pPr>
      <w:r>
        <w:rPr>
          <w:rFonts w:hint="eastAsia" w:ascii="黑体" w:hAnsi="黑体" w:eastAsia="黑体" w:cs="黑体"/>
          <w:sz w:val="32"/>
          <w:szCs w:val="32"/>
        </w:rPr>
        <w:t>附件1</w:t>
      </w:r>
    </w:p>
    <w:p>
      <w:pPr>
        <w:ind w:firstLine="640" w:firstLineChars="200"/>
        <w:rPr>
          <w:rFonts w:ascii="仿宋_GB2312" w:cs="宋体"/>
          <w:kern w:val="0"/>
          <w:sz w:val="32"/>
          <w:szCs w:val="32"/>
        </w:rPr>
      </w:pPr>
    </w:p>
    <w:p>
      <w:pPr>
        <w:adjustRightInd w:val="0"/>
        <w:snapToGrid w:val="0"/>
        <w:jc w:val="center"/>
        <w:rPr>
          <w:rFonts w:ascii="仿宋_GB2312"/>
          <w:snapToGrid w:val="0"/>
          <w:kern w:val="0"/>
          <w:sz w:val="32"/>
          <w:szCs w:val="32"/>
        </w:rPr>
      </w:pPr>
    </w:p>
    <w:p>
      <w:pPr>
        <w:adjustRightInd w:val="0"/>
        <w:snapToGrid w:val="0"/>
        <w:jc w:val="center"/>
        <w:rPr>
          <w:rFonts w:ascii="方正小标宋_GBK" w:eastAsia="方正小标宋_GBK"/>
          <w:snapToGrid w:val="0"/>
          <w:kern w:val="0"/>
          <w:sz w:val="52"/>
          <w:szCs w:val="52"/>
        </w:rPr>
      </w:pPr>
      <w:r>
        <w:rPr>
          <w:rFonts w:hint="eastAsia" w:ascii="方正小标宋_GBK" w:eastAsia="方正小标宋_GBK"/>
          <w:snapToGrid w:val="0"/>
          <w:spacing w:val="100"/>
          <w:kern w:val="0"/>
          <w:sz w:val="52"/>
          <w:szCs w:val="52"/>
        </w:rPr>
        <w:t>企业安全生产标准</w:t>
      </w:r>
      <w:r>
        <w:rPr>
          <w:rFonts w:hint="eastAsia" w:ascii="方正小标宋_GBK" w:eastAsia="方正小标宋_GBK"/>
          <w:snapToGrid w:val="0"/>
          <w:kern w:val="0"/>
          <w:sz w:val="52"/>
          <w:szCs w:val="52"/>
        </w:rPr>
        <w:t>化</w:t>
      </w:r>
    </w:p>
    <w:p>
      <w:pPr>
        <w:adjustRightInd w:val="0"/>
        <w:snapToGrid w:val="0"/>
        <w:jc w:val="center"/>
        <w:rPr>
          <w:rFonts w:ascii="方正小标宋_GBK" w:eastAsia="方正小标宋_GBK"/>
          <w:snapToGrid w:val="0"/>
          <w:kern w:val="0"/>
          <w:sz w:val="32"/>
          <w:szCs w:val="32"/>
        </w:rPr>
      </w:pPr>
    </w:p>
    <w:p>
      <w:pPr>
        <w:adjustRightInd w:val="0"/>
        <w:snapToGrid w:val="0"/>
        <w:jc w:val="center"/>
        <w:rPr>
          <w:rFonts w:ascii="方正小标宋_GBK" w:hAnsi="宋体" w:eastAsia="方正小标宋_GBK"/>
          <w:snapToGrid w:val="0"/>
          <w:kern w:val="0"/>
          <w:sz w:val="72"/>
          <w:szCs w:val="72"/>
        </w:rPr>
      </w:pPr>
      <w:r>
        <w:rPr>
          <w:rFonts w:hint="eastAsia" w:ascii="方正小标宋_GBK" w:hAnsi="宋体" w:eastAsia="方正小标宋_GBK"/>
          <w:snapToGrid w:val="0"/>
          <w:spacing w:val="340"/>
          <w:kern w:val="0"/>
          <w:sz w:val="72"/>
          <w:szCs w:val="72"/>
        </w:rPr>
        <w:t xml:space="preserve"> 自评报告</w:t>
      </w: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700" w:lineRule="exact"/>
        <w:ind w:firstLine="1280" w:firstLineChars="400"/>
        <w:rPr>
          <w:rFonts w:ascii="仿宋_GB2312"/>
          <w:snapToGrid w:val="0"/>
          <w:kern w:val="0"/>
          <w:sz w:val="32"/>
          <w:szCs w:val="32"/>
          <w:u w:val="single"/>
        </w:rPr>
      </w:pPr>
      <w:r>
        <w:rPr>
          <w:rFonts w:hint="eastAsia" w:ascii="仿宋_GB2312"/>
          <w:snapToGrid w:val="0"/>
          <w:kern w:val="0"/>
          <w:sz w:val="32"/>
          <w:szCs w:val="32"/>
        </w:rPr>
        <w:t>企业名称（盖章）</w:t>
      </w:r>
      <w:r>
        <w:rPr>
          <w:rFonts w:hint="eastAsia" w:ascii="仿宋_GB2312"/>
          <w:snapToGrid w:val="0"/>
          <w:kern w:val="0"/>
          <w:sz w:val="32"/>
          <w:szCs w:val="32"/>
          <w:u w:val="single"/>
        </w:rPr>
        <w:t xml:space="preserve">                      </w:t>
      </w:r>
    </w:p>
    <w:p>
      <w:pPr>
        <w:adjustRightInd w:val="0"/>
        <w:snapToGrid w:val="0"/>
        <w:spacing w:line="700" w:lineRule="exact"/>
        <w:ind w:firstLine="1280" w:firstLineChars="400"/>
        <w:rPr>
          <w:rFonts w:ascii="仿宋_GB2312"/>
          <w:snapToGrid w:val="0"/>
          <w:kern w:val="0"/>
          <w:sz w:val="32"/>
          <w:szCs w:val="32"/>
        </w:rPr>
      </w:pPr>
      <w:r>
        <w:rPr>
          <w:rFonts w:hint="eastAsia" w:ascii="仿宋_GB2312"/>
          <w:snapToGrid w:val="0"/>
          <w:kern w:val="0"/>
          <w:sz w:val="32"/>
          <w:szCs w:val="32"/>
        </w:rPr>
        <w:t>行    业</w:t>
      </w:r>
      <w:r>
        <w:rPr>
          <w:rFonts w:hint="eastAsia" w:ascii="仿宋_GB2312"/>
          <w:snapToGrid w:val="0"/>
          <w:kern w:val="0"/>
          <w:sz w:val="32"/>
          <w:szCs w:val="32"/>
          <w:u w:val="single"/>
        </w:rPr>
        <w:t xml:space="preserve">    </w:t>
      </w:r>
      <w:r>
        <w:rPr>
          <w:rFonts w:ascii="仿宋_GB2312"/>
          <w:snapToGrid w:val="0"/>
          <w:kern w:val="0"/>
          <w:sz w:val="32"/>
          <w:szCs w:val="32"/>
          <w:u w:val="single"/>
        </w:rPr>
        <w:t xml:space="preserve">    </w:t>
      </w:r>
      <w:r>
        <w:rPr>
          <w:rFonts w:hint="eastAsia" w:ascii="仿宋_GB2312"/>
          <w:snapToGrid w:val="0"/>
          <w:kern w:val="0"/>
          <w:sz w:val="32"/>
          <w:szCs w:val="32"/>
          <w:u w:val="single"/>
        </w:rPr>
        <w:t xml:space="preserve">    </w:t>
      </w:r>
      <w:r>
        <w:rPr>
          <w:rFonts w:ascii="仿宋_GB2312"/>
          <w:snapToGrid w:val="0"/>
          <w:kern w:val="0"/>
          <w:sz w:val="32"/>
          <w:szCs w:val="32"/>
        </w:rPr>
        <w:t>专</w:t>
      </w:r>
      <w:r>
        <w:rPr>
          <w:rFonts w:hint="eastAsia" w:ascii="仿宋_GB2312"/>
          <w:snapToGrid w:val="0"/>
          <w:kern w:val="0"/>
          <w:sz w:val="32"/>
          <w:szCs w:val="32"/>
        </w:rPr>
        <w:t xml:space="preserve">    </w:t>
      </w:r>
      <w:r>
        <w:rPr>
          <w:rFonts w:ascii="仿宋_GB2312"/>
          <w:snapToGrid w:val="0"/>
          <w:kern w:val="0"/>
          <w:sz w:val="32"/>
          <w:szCs w:val="32"/>
        </w:rPr>
        <w:t>业</w:t>
      </w:r>
      <w:r>
        <w:rPr>
          <w:rFonts w:hint="eastAsia" w:ascii="仿宋_GB2312"/>
          <w:snapToGrid w:val="0"/>
          <w:kern w:val="0"/>
          <w:sz w:val="32"/>
          <w:szCs w:val="32"/>
          <w:u w:val="single"/>
        </w:rPr>
        <w:t xml:space="preserve">          </w:t>
      </w:r>
    </w:p>
    <w:p>
      <w:pPr>
        <w:adjustRightInd w:val="0"/>
        <w:snapToGrid w:val="0"/>
        <w:spacing w:line="700" w:lineRule="exact"/>
        <w:ind w:firstLine="1280" w:firstLineChars="400"/>
        <w:rPr>
          <w:rFonts w:ascii="仿宋_GB2312"/>
          <w:snapToGrid w:val="0"/>
          <w:kern w:val="0"/>
          <w:sz w:val="32"/>
          <w:szCs w:val="32"/>
          <w:u w:val="single"/>
        </w:rPr>
      </w:pPr>
      <w:r>
        <w:rPr>
          <w:rFonts w:hint="eastAsia" w:ascii="仿宋_GB2312"/>
          <w:snapToGrid w:val="0"/>
          <w:kern w:val="0"/>
          <w:sz w:val="32"/>
          <w:szCs w:val="32"/>
        </w:rPr>
        <w:t>自评得分</w:t>
      </w:r>
      <w:r>
        <w:rPr>
          <w:rFonts w:hint="eastAsia" w:ascii="仿宋_GB2312"/>
          <w:snapToGrid w:val="0"/>
          <w:kern w:val="0"/>
          <w:sz w:val="32"/>
          <w:szCs w:val="32"/>
          <w:u w:val="single"/>
        </w:rPr>
        <w:t xml:space="preserve">            </w:t>
      </w:r>
      <w:r>
        <w:rPr>
          <w:rFonts w:hint="eastAsia" w:ascii="仿宋_GB2312"/>
          <w:snapToGrid w:val="0"/>
          <w:kern w:val="0"/>
          <w:sz w:val="32"/>
          <w:szCs w:val="32"/>
        </w:rPr>
        <w:t>自评等级</w:t>
      </w:r>
      <w:r>
        <w:rPr>
          <w:rFonts w:hint="eastAsia" w:ascii="仿宋_GB2312"/>
          <w:snapToGrid w:val="0"/>
          <w:kern w:val="0"/>
          <w:sz w:val="32"/>
          <w:szCs w:val="32"/>
          <w:u w:val="single"/>
        </w:rPr>
        <w:t xml:space="preserve">          </w:t>
      </w:r>
    </w:p>
    <w:p>
      <w:pPr>
        <w:adjustRightInd w:val="0"/>
        <w:snapToGrid w:val="0"/>
        <w:spacing w:line="700" w:lineRule="exact"/>
        <w:ind w:firstLine="1280" w:firstLineChars="400"/>
        <w:rPr>
          <w:rFonts w:ascii="仿宋_GB2312"/>
          <w:snapToGrid w:val="0"/>
          <w:kern w:val="0"/>
          <w:sz w:val="32"/>
          <w:szCs w:val="32"/>
          <w:u w:val="single"/>
        </w:rPr>
      </w:pPr>
      <w:r>
        <w:rPr>
          <w:rFonts w:hint="eastAsia" w:ascii="仿宋_GB2312"/>
          <w:snapToGrid w:val="0"/>
          <w:kern w:val="0"/>
          <w:sz w:val="32"/>
          <w:szCs w:val="32"/>
        </w:rPr>
        <w:t>自评日期</w:t>
      </w:r>
      <w:r>
        <w:rPr>
          <w:rFonts w:hint="eastAsia" w:ascii="仿宋_GB2312"/>
          <w:snapToGrid w:val="0"/>
          <w:kern w:val="0"/>
          <w:sz w:val="32"/>
          <w:szCs w:val="32"/>
          <w:u w:val="single"/>
        </w:rPr>
        <w:t xml:space="preserve">        </w:t>
      </w:r>
      <w:r>
        <w:rPr>
          <w:rFonts w:hint="eastAsia" w:ascii="仿宋_GB2312"/>
          <w:snapToGrid w:val="0"/>
          <w:kern w:val="0"/>
          <w:sz w:val="32"/>
          <w:szCs w:val="32"/>
        </w:rPr>
        <w:t>年</w:t>
      </w:r>
      <w:r>
        <w:rPr>
          <w:rFonts w:hint="eastAsia" w:ascii="仿宋_GB2312"/>
          <w:snapToGrid w:val="0"/>
          <w:kern w:val="0"/>
          <w:sz w:val="32"/>
          <w:szCs w:val="32"/>
          <w:u w:val="single"/>
        </w:rPr>
        <w:t xml:space="preserve">  </w:t>
      </w:r>
      <w:r>
        <w:rPr>
          <w:rFonts w:ascii="仿宋_GB2312"/>
          <w:snapToGrid w:val="0"/>
          <w:kern w:val="0"/>
          <w:sz w:val="32"/>
          <w:szCs w:val="32"/>
          <w:u w:val="single"/>
        </w:rPr>
        <w:t xml:space="preserve">  </w:t>
      </w:r>
      <w:r>
        <w:rPr>
          <w:rFonts w:hint="eastAsia" w:ascii="仿宋_GB2312"/>
          <w:snapToGrid w:val="0"/>
          <w:kern w:val="0"/>
          <w:sz w:val="32"/>
          <w:szCs w:val="32"/>
          <w:u w:val="single"/>
        </w:rPr>
        <w:t xml:space="preserve">    </w:t>
      </w:r>
      <w:r>
        <w:rPr>
          <w:rFonts w:hint="eastAsia" w:ascii="仿宋_GB2312"/>
          <w:snapToGrid w:val="0"/>
          <w:kern w:val="0"/>
          <w:sz w:val="32"/>
          <w:szCs w:val="32"/>
        </w:rPr>
        <w:t>月</w:t>
      </w:r>
      <w:r>
        <w:rPr>
          <w:rFonts w:hint="eastAsia" w:ascii="仿宋_GB2312"/>
          <w:snapToGrid w:val="0"/>
          <w:kern w:val="0"/>
          <w:sz w:val="32"/>
          <w:szCs w:val="32"/>
          <w:u w:val="single"/>
        </w:rPr>
        <w:t xml:space="preserve">  </w:t>
      </w:r>
      <w:r>
        <w:rPr>
          <w:rFonts w:ascii="仿宋_GB2312"/>
          <w:snapToGrid w:val="0"/>
          <w:kern w:val="0"/>
          <w:sz w:val="32"/>
          <w:szCs w:val="32"/>
          <w:u w:val="single"/>
        </w:rPr>
        <w:t xml:space="preserve">  </w:t>
      </w:r>
      <w:r>
        <w:rPr>
          <w:rFonts w:hint="eastAsia" w:ascii="仿宋_GB2312"/>
          <w:snapToGrid w:val="0"/>
          <w:kern w:val="0"/>
          <w:sz w:val="32"/>
          <w:szCs w:val="32"/>
          <w:u w:val="single"/>
        </w:rPr>
        <w:t xml:space="preserve">     </w:t>
      </w:r>
      <w:r>
        <w:rPr>
          <w:rFonts w:hint="eastAsia" w:ascii="仿宋_GB2312"/>
          <w:snapToGrid w:val="0"/>
          <w:kern w:val="0"/>
          <w:sz w:val="32"/>
          <w:szCs w:val="32"/>
        </w:rPr>
        <w:t>日</w:t>
      </w:r>
    </w:p>
    <w:p>
      <w:pPr>
        <w:adjustRightInd w:val="0"/>
        <w:snapToGrid w:val="0"/>
        <w:spacing w:line="700" w:lineRule="exact"/>
        <w:ind w:firstLine="1280" w:firstLineChars="400"/>
        <w:rPr>
          <w:rFonts w:ascii="仿宋_GB2312"/>
          <w:snapToGrid w:val="0"/>
          <w:kern w:val="0"/>
          <w:sz w:val="32"/>
          <w:szCs w:val="32"/>
        </w:rPr>
      </w:pPr>
      <w:r>
        <w:rPr>
          <w:rFonts w:hint="eastAsia" w:ascii="仿宋_GB2312"/>
          <w:snapToGrid w:val="0"/>
          <w:kern w:val="0"/>
          <w:sz w:val="32"/>
          <w:szCs w:val="32"/>
        </w:rPr>
        <w:t>是否在企业内部公示    □是    □否</w:t>
      </w:r>
    </w:p>
    <w:p>
      <w:pPr>
        <w:adjustRightInd w:val="0"/>
        <w:snapToGrid w:val="0"/>
        <w:spacing w:line="700" w:lineRule="exact"/>
        <w:ind w:firstLine="1280" w:firstLineChars="400"/>
        <w:rPr>
          <w:rFonts w:ascii="仿宋_GB2312"/>
          <w:snapToGrid w:val="0"/>
          <w:kern w:val="0"/>
          <w:sz w:val="32"/>
          <w:szCs w:val="32"/>
        </w:rPr>
      </w:pPr>
      <w:r>
        <w:rPr>
          <w:rFonts w:hint="eastAsia" w:ascii="仿宋_GB2312"/>
          <w:snapToGrid w:val="0"/>
          <w:kern w:val="0"/>
          <w:sz w:val="32"/>
          <w:szCs w:val="32"/>
        </w:rPr>
        <w:t>是否</w:t>
      </w:r>
      <w:r>
        <w:rPr>
          <w:rFonts w:ascii="仿宋_GB2312"/>
          <w:snapToGrid w:val="0"/>
          <w:kern w:val="0"/>
          <w:sz w:val="32"/>
          <w:szCs w:val="32"/>
        </w:rPr>
        <w:t xml:space="preserve">申请定级     </w:t>
      </w:r>
      <w:r>
        <w:rPr>
          <w:rFonts w:hint="eastAsia" w:ascii="仿宋_GB2312"/>
          <w:snapToGrid w:val="0"/>
          <w:kern w:val="0"/>
          <w:sz w:val="32"/>
          <w:szCs w:val="32"/>
        </w:rPr>
        <w:t xml:space="preserve">    </w:t>
      </w:r>
      <w:r>
        <w:rPr>
          <w:rFonts w:ascii="仿宋_GB2312"/>
          <w:snapToGrid w:val="0"/>
          <w:kern w:val="0"/>
          <w:sz w:val="32"/>
          <w:szCs w:val="32"/>
        </w:rPr>
        <w:t xml:space="preserve"> </w:t>
      </w:r>
      <w:r>
        <w:rPr>
          <w:rFonts w:hint="eastAsia" w:ascii="仿宋_GB2312"/>
          <w:snapToGrid w:val="0"/>
          <w:kern w:val="0"/>
          <w:sz w:val="32"/>
          <w:szCs w:val="32"/>
        </w:rPr>
        <w:t>□是    □否</w:t>
      </w:r>
    </w:p>
    <w:p>
      <w:pPr>
        <w:adjustRightInd w:val="0"/>
        <w:snapToGrid w:val="0"/>
        <w:spacing w:line="700" w:lineRule="exact"/>
        <w:ind w:firstLine="1280" w:firstLineChars="400"/>
        <w:rPr>
          <w:rFonts w:ascii="仿宋_GB2312"/>
          <w:snapToGrid w:val="0"/>
          <w:kern w:val="0"/>
          <w:sz w:val="32"/>
          <w:szCs w:val="32"/>
        </w:rPr>
      </w:pPr>
      <w:r>
        <w:rPr>
          <w:rFonts w:hint="eastAsia" w:ascii="仿宋_GB2312"/>
          <w:snapToGrid w:val="0"/>
          <w:kern w:val="0"/>
          <w:sz w:val="32"/>
          <w:szCs w:val="32"/>
        </w:rPr>
        <w:t xml:space="preserve">申请等级 </w:t>
      </w:r>
      <w:r>
        <w:rPr>
          <w:rFonts w:ascii="仿宋_GB2312"/>
          <w:snapToGrid w:val="0"/>
          <w:kern w:val="0"/>
          <w:sz w:val="32"/>
          <w:szCs w:val="32"/>
        </w:rPr>
        <w:t xml:space="preserve">     </w:t>
      </w:r>
      <w:r>
        <w:rPr>
          <w:rFonts w:hint="eastAsia" w:ascii="仿宋_GB2312"/>
          <w:snapToGrid w:val="0"/>
          <w:kern w:val="0"/>
          <w:sz w:val="32"/>
          <w:szCs w:val="32"/>
        </w:rPr>
        <w:t xml:space="preserve">□一级   □二级  </w:t>
      </w:r>
      <w:r>
        <w:rPr>
          <w:rFonts w:ascii="仿宋_GB2312"/>
          <w:snapToGrid w:val="0"/>
          <w:kern w:val="0"/>
          <w:sz w:val="32"/>
          <w:szCs w:val="32"/>
        </w:rPr>
        <w:t xml:space="preserve"> </w:t>
      </w:r>
      <w:r>
        <w:rPr>
          <w:rFonts w:hint="eastAsia" w:ascii="仿宋_GB2312"/>
          <w:snapToGrid w:val="0"/>
          <w:kern w:val="0"/>
          <w:sz w:val="32"/>
          <w:szCs w:val="32"/>
        </w:rPr>
        <w:t>□三级</w:t>
      </w:r>
    </w:p>
    <w:p>
      <w:pPr>
        <w:adjustRightInd w:val="0"/>
        <w:snapToGrid w:val="0"/>
        <w:spacing w:line="700" w:lineRule="exact"/>
        <w:ind w:firstLine="1280" w:firstLineChars="400"/>
        <w:rPr>
          <w:rFonts w:ascii="宋体"/>
          <w:b/>
          <w:snapToGrid w:val="0"/>
          <w:kern w:val="0"/>
          <w:sz w:val="32"/>
          <w:szCs w:val="32"/>
        </w:rPr>
      </w:pPr>
    </w:p>
    <w:p>
      <w:pPr>
        <w:adjustRightInd w:val="0"/>
        <w:snapToGrid w:val="0"/>
        <w:spacing w:after="174" w:afterLines="30"/>
        <w:jc w:val="center"/>
        <w:rPr>
          <w:rFonts w:ascii="宋体"/>
          <w:b/>
          <w:snapToGrid w:val="0"/>
          <w:kern w:val="0"/>
          <w:sz w:val="32"/>
          <w:szCs w:val="32"/>
        </w:rPr>
      </w:pPr>
    </w:p>
    <w:tbl>
      <w:tblPr>
        <w:tblStyle w:val="1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87"/>
        <w:gridCol w:w="201"/>
        <w:gridCol w:w="1202"/>
        <w:gridCol w:w="282"/>
        <w:gridCol w:w="1311"/>
        <w:gridCol w:w="1714"/>
        <w:gridCol w:w="1428"/>
        <w:gridCol w:w="15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86" w:type="dxa"/>
            <w:gridSpan w:val="10"/>
            <w:vAlign w:val="center"/>
          </w:tcPr>
          <w:p>
            <w:pPr>
              <w:adjustRightInd w:val="0"/>
              <w:snapToGrid w:val="0"/>
              <w:jc w:val="center"/>
              <w:rPr>
                <w:rFonts w:ascii="仿宋_GB2312"/>
                <w:snapToGrid w:val="0"/>
                <w:kern w:val="0"/>
                <w:sz w:val="28"/>
                <w:szCs w:val="28"/>
              </w:rPr>
            </w:pPr>
            <w:r>
              <w:rPr>
                <w:rFonts w:hint="eastAsia" w:ascii="黑体" w:hAnsi="黑体" w:eastAsia="黑体" w:cs="黑体"/>
                <w:bCs/>
                <w:snapToGrid w:val="0"/>
                <w:kern w:val="0"/>
                <w:sz w:val="28"/>
                <w:szCs w:val="28"/>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企业名称</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住    所</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类    型</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ind w:left="-90" w:leftChars="-25" w:right="-90" w:rightChars="-25"/>
              <w:jc w:val="center"/>
              <w:rPr>
                <w:rFonts w:ascii="仿宋_GB2312"/>
                <w:snapToGrid w:val="0"/>
                <w:kern w:val="0"/>
                <w:sz w:val="24"/>
              </w:rPr>
            </w:pPr>
            <w:r>
              <w:rPr>
                <w:rFonts w:hint="eastAsia" w:ascii="仿宋_GB2312"/>
                <w:snapToGrid w:val="0"/>
                <w:spacing w:val="-32"/>
                <w:kern w:val="0"/>
                <w:sz w:val="24"/>
              </w:rPr>
              <w:t>安全管理机</w:t>
            </w:r>
            <w:r>
              <w:rPr>
                <w:rFonts w:hint="eastAsia" w:ascii="仿宋_GB2312"/>
                <w:snapToGrid w:val="0"/>
                <w:kern w:val="0"/>
                <w:sz w:val="24"/>
              </w:rPr>
              <w:t>构</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spacing w:val="-32"/>
                <w:kern w:val="0"/>
                <w:sz w:val="24"/>
              </w:rPr>
              <w:t>法定代表</w:t>
            </w:r>
            <w:r>
              <w:rPr>
                <w:rFonts w:hint="eastAsia" w:ascii="仿宋_GB2312"/>
                <w:snapToGrid w:val="0"/>
                <w:kern w:val="0"/>
                <w:sz w:val="24"/>
              </w:rPr>
              <w:t>人</w:t>
            </w:r>
          </w:p>
        </w:tc>
        <w:tc>
          <w:tcPr>
            <w:tcW w:w="1685" w:type="dxa"/>
            <w:gridSpan w:val="3"/>
            <w:vAlign w:val="center"/>
          </w:tcPr>
          <w:p>
            <w:pPr>
              <w:adjustRightInd w:val="0"/>
              <w:snapToGrid w:val="0"/>
              <w:spacing w:before="87" w:beforeLines="15"/>
              <w:jc w:val="center"/>
              <w:rPr>
                <w:rFonts w:ascii="仿宋_GB2312"/>
                <w:snapToGrid w:val="0"/>
                <w:kern w:val="0"/>
                <w:sz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714" w:type="dxa"/>
            <w:vAlign w:val="center"/>
          </w:tcPr>
          <w:p>
            <w:pPr>
              <w:adjustRightInd w:val="0"/>
              <w:snapToGrid w:val="0"/>
              <w:spacing w:before="87" w:beforeLines="15"/>
              <w:jc w:val="center"/>
              <w:rPr>
                <w:rFonts w:ascii="仿宋_GB2312"/>
                <w:snapToGrid w:val="0"/>
                <w:kern w:val="0"/>
                <w:sz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传    真</w:t>
            </w:r>
          </w:p>
        </w:tc>
        <w:tc>
          <w:tcPr>
            <w:tcW w:w="1644" w:type="dxa"/>
            <w:gridSpan w:val="2"/>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4" w:type="dxa"/>
            <w:gridSpan w:val="2"/>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联 系 人</w:t>
            </w:r>
          </w:p>
        </w:tc>
        <w:tc>
          <w:tcPr>
            <w:tcW w:w="1685" w:type="dxa"/>
            <w:gridSpan w:val="3"/>
            <w:vMerge w:val="restart"/>
            <w:vAlign w:val="center"/>
          </w:tcPr>
          <w:p>
            <w:pPr>
              <w:adjustRightInd w:val="0"/>
              <w:snapToGrid w:val="0"/>
              <w:spacing w:before="87" w:beforeLines="15"/>
              <w:jc w:val="center"/>
              <w:rPr>
                <w:rFonts w:ascii="仿宋_GB2312"/>
                <w:snapToGrid w:val="0"/>
                <w:kern w:val="0"/>
                <w:sz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714" w:type="dxa"/>
            <w:vAlign w:val="center"/>
          </w:tcPr>
          <w:p>
            <w:pPr>
              <w:adjustRightInd w:val="0"/>
              <w:snapToGrid w:val="0"/>
              <w:spacing w:before="87" w:beforeLines="15"/>
              <w:jc w:val="center"/>
              <w:rPr>
                <w:rFonts w:ascii="仿宋_GB2312"/>
                <w:snapToGrid w:val="0"/>
                <w:kern w:val="0"/>
                <w:sz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传    真</w:t>
            </w:r>
          </w:p>
        </w:tc>
        <w:tc>
          <w:tcPr>
            <w:tcW w:w="1644" w:type="dxa"/>
            <w:gridSpan w:val="2"/>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4" w:type="dxa"/>
            <w:gridSpan w:val="2"/>
            <w:vMerge w:val="continue"/>
            <w:vAlign w:val="center"/>
          </w:tcPr>
          <w:p>
            <w:pPr>
              <w:adjustRightInd w:val="0"/>
              <w:snapToGrid w:val="0"/>
              <w:spacing w:before="87" w:beforeLines="15"/>
              <w:jc w:val="center"/>
              <w:rPr>
                <w:rFonts w:ascii="仿宋_GB2312"/>
                <w:snapToGrid w:val="0"/>
                <w:kern w:val="0"/>
                <w:sz w:val="24"/>
              </w:rPr>
            </w:pPr>
          </w:p>
        </w:tc>
        <w:tc>
          <w:tcPr>
            <w:tcW w:w="1685" w:type="dxa"/>
            <w:gridSpan w:val="3"/>
            <w:vMerge w:val="continue"/>
            <w:vAlign w:val="center"/>
          </w:tcPr>
          <w:p>
            <w:pPr>
              <w:adjustRightInd w:val="0"/>
              <w:snapToGrid w:val="0"/>
              <w:spacing w:before="87" w:beforeLines="15"/>
              <w:jc w:val="center"/>
              <w:rPr>
                <w:rFonts w:ascii="仿宋_GB2312"/>
                <w:snapToGrid w:val="0"/>
                <w:kern w:val="0"/>
                <w:sz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手  机</w:t>
            </w:r>
          </w:p>
        </w:tc>
        <w:tc>
          <w:tcPr>
            <w:tcW w:w="1714" w:type="dxa"/>
            <w:vAlign w:val="center"/>
          </w:tcPr>
          <w:p>
            <w:pPr>
              <w:adjustRightInd w:val="0"/>
              <w:snapToGrid w:val="0"/>
              <w:spacing w:before="87" w:beforeLines="15"/>
              <w:jc w:val="center"/>
              <w:rPr>
                <w:rFonts w:ascii="仿宋_GB2312"/>
                <w:snapToGrid w:val="0"/>
                <w:kern w:val="0"/>
                <w:sz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电子信箱</w:t>
            </w:r>
          </w:p>
        </w:tc>
        <w:tc>
          <w:tcPr>
            <w:tcW w:w="1644" w:type="dxa"/>
            <w:gridSpan w:val="2"/>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86" w:type="dxa"/>
            <w:gridSpan w:val="10"/>
            <w:vAlign w:val="center"/>
          </w:tcPr>
          <w:p>
            <w:pPr>
              <w:adjustRightInd w:val="0"/>
              <w:snapToGrid w:val="0"/>
              <w:spacing w:before="87" w:beforeLines="15"/>
              <w:rPr>
                <w:rFonts w:ascii="仿宋_GB2312"/>
                <w:snapToGrid w:val="0"/>
                <w:spacing w:val="-16"/>
                <w:kern w:val="0"/>
                <w:sz w:val="24"/>
              </w:rPr>
            </w:pPr>
            <w:r>
              <w:rPr>
                <w:rFonts w:hint="eastAsia" w:ascii="仿宋_GB2312"/>
                <w:snapToGrid w:val="0"/>
                <w:spacing w:val="-16"/>
                <w:kern w:val="0"/>
                <w:sz w:val="24"/>
              </w:rPr>
              <w:t>本次自评前本企业（专业）曾经取得的标准化等级：□一级</w:t>
            </w:r>
            <w:r>
              <w:rPr>
                <w:rFonts w:ascii="仿宋_GB2312"/>
                <w:snapToGrid w:val="0"/>
                <w:spacing w:val="-16"/>
                <w:kern w:val="0"/>
                <w:sz w:val="24"/>
              </w:rPr>
              <w:t xml:space="preserve">  </w:t>
            </w:r>
            <w:r>
              <w:rPr>
                <w:rFonts w:hint="eastAsia" w:ascii="仿宋_GB2312"/>
                <w:snapToGrid w:val="0"/>
                <w:spacing w:val="-16"/>
                <w:kern w:val="0"/>
                <w:sz w:val="24"/>
              </w:rPr>
              <w:t xml:space="preserve"> □二级 </w:t>
            </w:r>
            <w:r>
              <w:rPr>
                <w:rFonts w:ascii="仿宋_GB2312"/>
                <w:snapToGrid w:val="0"/>
                <w:spacing w:val="-16"/>
                <w:kern w:val="0"/>
                <w:sz w:val="24"/>
              </w:rPr>
              <w:t xml:space="preserve">  </w:t>
            </w:r>
            <w:r>
              <w:rPr>
                <w:rFonts w:hint="eastAsia" w:ascii="仿宋_GB2312"/>
                <w:snapToGrid w:val="0"/>
                <w:spacing w:val="-16"/>
                <w:kern w:val="0"/>
                <w:sz w:val="24"/>
              </w:rPr>
              <w:t xml:space="preserve">□三级 </w:t>
            </w:r>
            <w:r>
              <w:rPr>
                <w:rFonts w:ascii="仿宋_GB2312"/>
                <w:snapToGrid w:val="0"/>
                <w:spacing w:val="-16"/>
                <w:kern w:val="0"/>
                <w:sz w:val="24"/>
              </w:rPr>
              <w:t xml:space="preserve">  </w:t>
            </w:r>
            <w:r>
              <w:rPr>
                <w:rFonts w:hint="eastAsia" w:ascii="仿宋_GB2312"/>
                <w:snapToGrid w:val="0"/>
                <w:spacing w:val="-16"/>
                <w:kern w:val="0"/>
                <w:sz w:val="24"/>
              </w:rPr>
              <w:sym w:font="Wingdings 2" w:char="00A3"/>
            </w:r>
            <w:r>
              <w:rPr>
                <w:rFonts w:hint="eastAsia" w:ascii="仿宋_GB2312"/>
                <w:snapToGrid w:val="0"/>
                <w:spacing w:val="-16"/>
                <w:kern w:val="0"/>
                <w:sz w:val="24"/>
              </w:rPr>
              <w:t xml:space="preserve">小微企业 </w:t>
            </w:r>
            <w:r>
              <w:rPr>
                <w:rFonts w:ascii="仿宋_GB2312"/>
                <w:snapToGrid w:val="0"/>
                <w:spacing w:val="-16"/>
                <w:kern w:val="0"/>
                <w:sz w:val="24"/>
              </w:rPr>
              <w:t xml:space="preserve">  </w:t>
            </w:r>
            <w:r>
              <w:rPr>
                <w:rFonts w:hint="eastAsia" w:ascii="仿宋_GB2312"/>
                <w:snapToGrid w:val="0"/>
                <w:spacing w:val="-16"/>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86" w:type="dxa"/>
            <w:gridSpan w:val="10"/>
            <w:vAlign w:val="center"/>
          </w:tcPr>
          <w:p>
            <w:pPr>
              <w:adjustRightInd w:val="0"/>
              <w:snapToGrid w:val="0"/>
              <w:spacing w:before="87" w:beforeLines="15"/>
              <w:rPr>
                <w:rFonts w:ascii="仿宋_GB2312"/>
                <w:snapToGrid w:val="0"/>
                <w:kern w:val="0"/>
                <w:sz w:val="24"/>
              </w:rPr>
            </w:pPr>
            <w:r>
              <w:rPr>
                <w:rFonts w:hint="eastAsia" w:ascii="仿宋_GB2312"/>
                <w:snapToGrid w:val="0"/>
                <w:kern w:val="0"/>
                <w:sz w:val="24"/>
              </w:rPr>
              <w:t>如果是某企业集团的成员单位，请注明企业集团名称：</w:t>
            </w:r>
          </w:p>
          <w:p>
            <w:pPr>
              <w:adjustRightInd w:val="0"/>
              <w:snapToGrid w:val="0"/>
              <w:spacing w:before="87" w:beforeLines="15"/>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7" w:type="dxa"/>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企业安全生产标准化工作组主要成员</w:t>
            </w:r>
          </w:p>
        </w:tc>
        <w:tc>
          <w:tcPr>
            <w:tcW w:w="788" w:type="dxa"/>
            <w:gridSpan w:val="2"/>
            <w:vAlign w:val="center"/>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姓  名</w:t>
            </w:r>
          </w:p>
        </w:tc>
        <w:tc>
          <w:tcPr>
            <w:tcW w:w="3307" w:type="dxa"/>
            <w:gridSpan w:val="3"/>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所在部门及职务/职称</w:t>
            </w:r>
          </w:p>
        </w:tc>
        <w:tc>
          <w:tcPr>
            <w:tcW w:w="1586"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486"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组长</w:t>
            </w:r>
          </w:p>
        </w:tc>
        <w:tc>
          <w:tcPr>
            <w:tcW w:w="1202" w:type="dxa"/>
            <w:vAlign w:val="center"/>
          </w:tcPr>
          <w:p>
            <w:pPr>
              <w:adjustRightInd w:val="0"/>
              <w:snapToGrid w:val="0"/>
              <w:spacing w:before="87" w:beforeLines="15"/>
              <w:rPr>
                <w:rFonts w:ascii="仿宋_GB2312"/>
                <w:snapToGrid w:val="0"/>
                <w:kern w:val="0"/>
                <w:sz w:val="24"/>
              </w:rPr>
            </w:pPr>
          </w:p>
        </w:tc>
        <w:tc>
          <w:tcPr>
            <w:tcW w:w="3307" w:type="dxa"/>
            <w:gridSpan w:val="3"/>
            <w:vAlign w:val="center"/>
          </w:tcPr>
          <w:p>
            <w:pPr>
              <w:adjustRightInd w:val="0"/>
              <w:snapToGrid w:val="0"/>
              <w:spacing w:before="87" w:beforeLines="15"/>
              <w:rPr>
                <w:rFonts w:ascii="仿宋_GB2312"/>
                <w:snapToGrid w:val="0"/>
                <w:kern w:val="0"/>
                <w:sz w:val="24"/>
              </w:rPr>
            </w:pPr>
          </w:p>
        </w:tc>
        <w:tc>
          <w:tcPr>
            <w:tcW w:w="1586" w:type="dxa"/>
            <w:gridSpan w:val="2"/>
            <w:vAlign w:val="center"/>
          </w:tcPr>
          <w:p>
            <w:pPr>
              <w:adjustRightInd w:val="0"/>
              <w:snapToGrid w:val="0"/>
              <w:spacing w:before="87" w:beforeLines="15"/>
              <w:rPr>
                <w:rFonts w:ascii="仿宋_GB2312"/>
                <w:snapToGrid w:val="0"/>
                <w:kern w:val="0"/>
                <w:sz w:val="24"/>
              </w:rPr>
            </w:pPr>
          </w:p>
        </w:tc>
        <w:tc>
          <w:tcPr>
            <w:tcW w:w="1486" w:type="dxa"/>
            <w:vAlign w:val="center"/>
          </w:tcPr>
          <w:p>
            <w:pPr>
              <w:adjustRightInd w:val="0"/>
              <w:snapToGrid w:val="0"/>
              <w:spacing w:before="87" w:beforeLines="15"/>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成员</w:t>
            </w:r>
          </w:p>
        </w:tc>
        <w:tc>
          <w:tcPr>
            <w:tcW w:w="1202" w:type="dxa"/>
            <w:vAlign w:val="center"/>
          </w:tcPr>
          <w:p>
            <w:pPr>
              <w:adjustRightInd w:val="0"/>
              <w:snapToGrid w:val="0"/>
              <w:spacing w:before="87" w:beforeLines="15"/>
              <w:rPr>
                <w:rFonts w:ascii="仿宋_GB2312"/>
                <w:snapToGrid w:val="0"/>
                <w:kern w:val="0"/>
                <w:sz w:val="24"/>
              </w:rPr>
            </w:pPr>
          </w:p>
        </w:tc>
        <w:tc>
          <w:tcPr>
            <w:tcW w:w="3307" w:type="dxa"/>
            <w:gridSpan w:val="3"/>
            <w:vAlign w:val="center"/>
          </w:tcPr>
          <w:p>
            <w:pPr>
              <w:adjustRightInd w:val="0"/>
              <w:snapToGrid w:val="0"/>
              <w:spacing w:before="87" w:beforeLines="15"/>
              <w:rPr>
                <w:rFonts w:ascii="仿宋_GB2312"/>
                <w:snapToGrid w:val="0"/>
                <w:kern w:val="0"/>
                <w:sz w:val="24"/>
              </w:rPr>
            </w:pPr>
          </w:p>
        </w:tc>
        <w:tc>
          <w:tcPr>
            <w:tcW w:w="1586" w:type="dxa"/>
            <w:gridSpan w:val="2"/>
            <w:vAlign w:val="center"/>
          </w:tcPr>
          <w:p>
            <w:pPr>
              <w:adjustRightInd w:val="0"/>
              <w:snapToGrid w:val="0"/>
              <w:spacing w:before="87" w:beforeLines="15"/>
              <w:rPr>
                <w:rFonts w:ascii="仿宋_GB2312"/>
                <w:snapToGrid w:val="0"/>
                <w:kern w:val="0"/>
                <w:sz w:val="24"/>
              </w:rPr>
            </w:pPr>
          </w:p>
        </w:tc>
        <w:tc>
          <w:tcPr>
            <w:tcW w:w="1486" w:type="dxa"/>
            <w:vAlign w:val="center"/>
          </w:tcPr>
          <w:p>
            <w:pPr>
              <w:adjustRightInd w:val="0"/>
              <w:snapToGrid w:val="0"/>
              <w:spacing w:before="87" w:beforeLines="15"/>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rPr>
                <w:rFonts w:ascii="仿宋_GB2312"/>
                <w:snapToGrid w:val="0"/>
                <w:kern w:val="0"/>
                <w:sz w:val="24"/>
              </w:rPr>
            </w:pPr>
          </w:p>
        </w:tc>
        <w:tc>
          <w:tcPr>
            <w:tcW w:w="3307" w:type="dxa"/>
            <w:gridSpan w:val="3"/>
            <w:vAlign w:val="center"/>
          </w:tcPr>
          <w:p>
            <w:pPr>
              <w:adjustRightInd w:val="0"/>
              <w:snapToGrid w:val="0"/>
              <w:spacing w:before="87" w:beforeLines="15"/>
              <w:rPr>
                <w:rFonts w:ascii="仿宋_GB2312"/>
                <w:snapToGrid w:val="0"/>
                <w:kern w:val="0"/>
                <w:sz w:val="24"/>
              </w:rPr>
            </w:pPr>
          </w:p>
        </w:tc>
        <w:tc>
          <w:tcPr>
            <w:tcW w:w="1586" w:type="dxa"/>
            <w:gridSpan w:val="2"/>
            <w:vAlign w:val="center"/>
          </w:tcPr>
          <w:p>
            <w:pPr>
              <w:adjustRightInd w:val="0"/>
              <w:snapToGrid w:val="0"/>
              <w:spacing w:before="87" w:beforeLines="15"/>
              <w:rPr>
                <w:rFonts w:ascii="仿宋_GB2312"/>
                <w:snapToGrid w:val="0"/>
                <w:kern w:val="0"/>
                <w:sz w:val="24"/>
              </w:rPr>
            </w:pPr>
          </w:p>
        </w:tc>
        <w:tc>
          <w:tcPr>
            <w:tcW w:w="1486" w:type="dxa"/>
            <w:vAlign w:val="center"/>
          </w:tcPr>
          <w:p>
            <w:pPr>
              <w:adjustRightInd w:val="0"/>
              <w:snapToGrid w:val="0"/>
              <w:spacing w:before="87" w:beforeLines="15"/>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rPr>
                <w:rFonts w:ascii="仿宋_GB2312"/>
                <w:snapToGrid w:val="0"/>
                <w:kern w:val="0"/>
                <w:sz w:val="24"/>
              </w:rPr>
            </w:pPr>
          </w:p>
        </w:tc>
        <w:tc>
          <w:tcPr>
            <w:tcW w:w="3307" w:type="dxa"/>
            <w:gridSpan w:val="3"/>
            <w:vAlign w:val="center"/>
          </w:tcPr>
          <w:p>
            <w:pPr>
              <w:adjustRightInd w:val="0"/>
              <w:snapToGrid w:val="0"/>
              <w:spacing w:before="87" w:beforeLines="15"/>
              <w:rPr>
                <w:rFonts w:ascii="仿宋_GB2312"/>
                <w:snapToGrid w:val="0"/>
                <w:kern w:val="0"/>
                <w:sz w:val="24"/>
              </w:rPr>
            </w:pPr>
          </w:p>
        </w:tc>
        <w:tc>
          <w:tcPr>
            <w:tcW w:w="1586" w:type="dxa"/>
            <w:gridSpan w:val="2"/>
            <w:vAlign w:val="center"/>
          </w:tcPr>
          <w:p>
            <w:pPr>
              <w:adjustRightInd w:val="0"/>
              <w:snapToGrid w:val="0"/>
              <w:spacing w:before="87" w:beforeLines="15"/>
              <w:rPr>
                <w:rFonts w:ascii="仿宋_GB2312"/>
                <w:snapToGrid w:val="0"/>
                <w:kern w:val="0"/>
                <w:sz w:val="24"/>
              </w:rPr>
            </w:pPr>
          </w:p>
        </w:tc>
        <w:tc>
          <w:tcPr>
            <w:tcW w:w="1486" w:type="dxa"/>
            <w:vAlign w:val="center"/>
          </w:tcPr>
          <w:p>
            <w:pPr>
              <w:adjustRightInd w:val="0"/>
              <w:snapToGrid w:val="0"/>
              <w:spacing w:before="87" w:beforeLines="15"/>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rPr>
                <w:rFonts w:ascii="仿宋_GB2312"/>
                <w:snapToGrid w:val="0"/>
                <w:kern w:val="0"/>
                <w:sz w:val="24"/>
              </w:rPr>
            </w:pPr>
          </w:p>
        </w:tc>
        <w:tc>
          <w:tcPr>
            <w:tcW w:w="3307" w:type="dxa"/>
            <w:gridSpan w:val="3"/>
            <w:vAlign w:val="center"/>
          </w:tcPr>
          <w:p>
            <w:pPr>
              <w:adjustRightInd w:val="0"/>
              <w:snapToGrid w:val="0"/>
              <w:spacing w:before="87" w:beforeLines="15"/>
              <w:rPr>
                <w:rFonts w:ascii="仿宋_GB2312"/>
                <w:snapToGrid w:val="0"/>
                <w:kern w:val="0"/>
                <w:sz w:val="24"/>
              </w:rPr>
            </w:pPr>
          </w:p>
        </w:tc>
        <w:tc>
          <w:tcPr>
            <w:tcW w:w="1586" w:type="dxa"/>
            <w:gridSpan w:val="2"/>
            <w:vAlign w:val="center"/>
          </w:tcPr>
          <w:p>
            <w:pPr>
              <w:adjustRightInd w:val="0"/>
              <w:snapToGrid w:val="0"/>
              <w:spacing w:before="87" w:beforeLines="15"/>
              <w:rPr>
                <w:rFonts w:ascii="仿宋_GB2312"/>
                <w:snapToGrid w:val="0"/>
                <w:kern w:val="0"/>
                <w:sz w:val="24"/>
              </w:rPr>
            </w:pPr>
          </w:p>
        </w:tc>
        <w:tc>
          <w:tcPr>
            <w:tcW w:w="1486" w:type="dxa"/>
            <w:vAlign w:val="center"/>
          </w:tcPr>
          <w:p>
            <w:pPr>
              <w:adjustRightInd w:val="0"/>
              <w:snapToGrid w:val="0"/>
              <w:spacing w:before="87" w:beforeLines="15"/>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7" w:type="dxa"/>
            <w:vMerge w:val="continue"/>
            <w:vAlign w:val="center"/>
          </w:tcPr>
          <w:p>
            <w:pPr>
              <w:adjustRightInd w:val="0"/>
              <w:snapToGrid w:val="0"/>
              <w:spacing w:before="87" w:beforeLines="15"/>
              <w:rPr>
                <w:rFonts w:ascii="仿宋_GB2312"/>
                <w:snapToGrid w:val="0"/>
                <w:kern w:val="0"/>
                <w:sz w:val="28"/>
                <w:szCs w:val="28"/>
              </w:rPr>
            </w:pPr>
          </w:p>
        </w:tc>
        <w:tc>
          <w:tcPr>
            <w:tcW w:w="788" w:type="dxa"/>
            <w:gridSpan w:val="2"/>
            <w:vMerge w:val="continue"/>
          </w:tcPr>
          <w:p>
            <w:pPr>
              <w:adjustRightInd w:val="0"/>
              <w:snapToGrid w:val="0"/>
              <w:spacing w:before="87" w:beforeLines="15"/>
              <w:jc w:val="center"/>
              <w:rPr>
                <w:rFonts w:ascii="仿宋_GB2312"/>
                <w:snapToGrid w:val="0"/>
                <w:kern w:val="0"/>
                <w:sz w:val="28"/>
                <w:szCs w:val="28"/>
              </w:rPr>
            </w:pPr>
          </w:p>
        </w:tc>
        <w:tc>
          <w:tcPr>
            <w:tcW w:w="1202" w:type="dxa"/>
            <w:vAlign w:val="center"/>
          </w:tcPr>
          <w:p>
            <w:pPr>
              <w:adjustRightInd w:val="0"/>
              <w:snapToGrid w:val="0"/>
              <w:spacing w:before="87" w:beforeLines="15"/>
              <w:rPr>
                <w:rFonts w:ascii="仿宋_GB2312"/>
                <w:snapToGrid w:val="0"/>
                <w:kern w:val="0"/>
                <w:sz w:val="28"/>
                <w:szCs w:val="28"/>
              </w:rPr>
            </w:pPr>
          </w:p>
        </w:tc>
        <w:tc>
          <w:tcPr>
            <w:tcW w:w="3307" w:type="dxa"/>
            <w:gridSpan w:val="3"/>
            <w:vAlign w:val="center"/>
          </w:tcPr>
          <w:p>
            <w:pPr>
              <w:adjustRightInd w:val="0"/>
              <w:snapToGrid w:val="0"/>
              <w:spacing w:before="87" w:beforeLines="15"/>
              <w:rPr>
                <w:rFonts w:ascii="仿宋_GB2312"/>
                <w:snapToGrid w:val="0"/>
                <w:kern w:val="0"/>
                <w:sz w:val="28"/>
                <w:szCs w:val="28"/>
              </w:rPr>
            </w:pPr>
          </w:p>
        </w:tc>
        <w:tc>
          <w:tcPr>
            <w:tcW w:w="1586" w:type="dxa"/>
            <w:gridSpan w:val="2"/>
            <w:vAlign w:val="center"/>
          </w:tcPr>
          <w:p>
            <w:pPr>
              <w:adjustRightInd w:val="0"/>
              <w:snapToGrid w:val="0"/>
              <w:spacing w:before="87" w:beforeLines="15"/>
              <w:rPr>
                <w:rFonts w:ascii="仿宋_GB2312"/>
                <w:snapToGrid w:val="0"/>
                <w:kern w:val="0"/>
                <w:sz w:val="28"/>
                <w:szCs w:val="28"/>
              </w:rPr>
            </w:pPr>
          </w:p>
        </w:tc>
        <w:tc>
          <w:tcPr>
            <w:tcW w:w="1486" w:type="dxa"/>
            <w:vAlign w:val="center"/>
          </w:tcPr>
          <w:p>
            <w:pPr>
              <w:adjustRightInd w:val="0"/>
              <w:snapToGrid w:val="0"/>
              <w:spacing w:before="87" w:beforeLines="15"/>
              <w:rPr>
                <w:rFonts w:ascii="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9286" w:type="dxa"/>
            <w:gridSpan w:val="10"/>
            <w:vAlign w:val="center"/>
          </w:tcPr>
          <w:p>
            <w:pPr>
              <w:adjustRightInd w:val="0"/>
              <w:snapToGrid w:val="0"/>
              <w:spacing w:line="560" w:lineRule="exact"/>
              <w:jc w:val="center"/>
              <w:rPr>
                <w:rFonts w:ascii="仿宋_GB2312"/>
                <w:snapToGrid w:val="0"/>
                <w:kern w:val="0"/>
                <w:sz w:val="28"/>
                <w:szCs w:val="28"/>
              </w:rPr>
            </w:pPr>
            <w:r>
              <w:rPr>
                <w:rFonts w:hint="eastAsia" w:ascii="黑体" w:hAnsi="黑体" w:eastAsia="黑体" w:cs="黑体"/>
                <w:bCs/>
                <w:snapToGrid w:val="0"/>
                <w:kern w:val="0"/>
                <w:sz w:val="28"/>
                <w:szCs w:val="28"/>
              </w:rPr>
              <w:t>自评总结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5" w:hRule="atLeast"/>
          <w:jc w:val="center"/>
        </w:trPr>
        <w:tc>
          <w:tcPr>
            <w:tcW w:w="9286" w:type="dxa"/>
            <w:gridSpan w:val="10"/>
            <w:vAlign w:val="center"/>
          </w:tcPr>
          <w:p>
            <w:pPr>
              <w:adjustRightInd w:val="0"/>
              <w:snapToGrid w:val="0"/>
              <w:spacing w:before="58" w:beforeLines="10" w:line="400" w:lineRule="exact"/>
              <w:rPr>
                <w:rFonts w:ascii="仿宋_GB2312"/>
                <w:snapToGrid w:val="0"/>
                <w:kern w:val="0"/>
                <w:sz w:val="24"/>
              </w:rPr>
            </w:pPr>
            <w:r>
              <w:rPr>
                <w:rFonts w:hint="eastAsia" w:ascii="仿宋_GB2312"/>
                <w:snapToGrid w:val="0"/>
                <w:kern w:val="0"/>
                <w:sz w:val="24"/>
              </w:rPr>
              <w:t xml:space="preserve">    1.企业概况。</w:t>
            </w:r>
          </w:p>
          <w:p>
            <w:pPr>
              <w:adjustRightInd w:val="0"/>
              <w:snapToGrid w:val="0"/>
              <w:spacing w:before="58" w:beforeLines="10" w:line="400" w:lineRule="exact"/>
              <w:rPr>
                <w:rFonts w:ascii="仿宋_GB2312"/>
                <w:snapToGrid w:val="0"/>
                <w:kern w:val="0"/>
                <w:sz w:val="24"/>
              </w:rPr>
            </w:pPr>
            <w:r>
              <w:rPr>
                <w:rFonts w:hint="eastAsia" w:ascii="仿宋_GB2312"/>
                <w:snapToGrid w:val="0"/>
                <w:kern w:val="0"/>
                <w:sz w:val="24"/>
              </w:rPr>
              <w:t xml:space="preserve">    2.企业生产安全事故情况（本自评年度内）。</w:t>
            </w:r>
          </w:p>
          <w:p>
            <w:pPr>
              <w:adjustRightInd w:val="0"/>
              <w:snapToGrid w:val="0"/>
              <w:spacing w:before="58" w:beforeLines="10" w:line="400" w:lineRule="exact"/>
              <w:rPr>
                <w:rFonts w:ascii="仿宋_GB2312"/>
                <w:snapToGrid w:val="0"/>
                <w:kern w:val="0"/>
                <w:sz w:val="24"/>
              </w:rPr>
            </w:pPr>
            <w:r>
              <w:rPr>
                <w:rFonts w:hint="eastAsia" w:ascii="仿宋_GB2312"/>
                <w:snapToGrid w:val="0"/>
                <w:kern w:val="0"/>
                <w:sz w:val="24"/>
              </w:rPr>
              <w:t xml:space="preserve">    3.企业安全生产标准化工作取得成效。</w:t>
            </w:r>
          </w:p>
          <w:p>
            <w:pPr>
              <w:adjustRightInd w:val="0"/>
              <w:snapToGrid w:val="0"/>
              <w:spacing w:before="58" w:beforeLines="10" w:line="400" w:lineRule="exact"/>
              <w:rPr>
                <w:rFonts w:ascii="仿宋_GB2312"/>
                <w:snapToGrid w:val="0"/>
                <w:kern w:val="0"/>
                <w:sz w:val="24"/>
              </w:rPr>
            </w:pPr>
            <w:r>
              <w:rPr>
                <w:rFonts w:hint="eastAsia" w:ascii="仿宋_GB2312"/>
                <w:snapToGrid w:val="0"/>
                <w:kern w:val="0"/>
                <w:sz w:val="24"/>
              </w:rPr>
              <w:t xml:space="preserve">    4</w:t>
            </w:r>
            <w:r>
              <w:rPr>
                <w:rFonts w:ascii="仿宋_GB2312"/>
                <w:snapToGrid w:val="0"/>
                <w:kern w:val="0"/>
                <w:sz w:val="24"/>
              </w:rPr>
              <w:t>.</w:t>
            </w:r>
            <w:r>
              <w:rPr>
                <w:rFonts w:hint="eastAsia" w:ascii="仿宋_GB2312"/>
                <w:snapToGrid w:val="0"/>
                <w:kern w:val="0"/>
                <w:sz w:val="24"/>
              </w:rPr>
              <w:t>自评打分表（得分情况、扣分项目）及整改完成情况。</w:t>
            </w:r>
          </w:p>
          <w:p>
            <w:pPr>
              <w:adjustRightInd w:val="0"/>
              <w:snapToGrid w:val="0"/>
              <w:spacing w:before="58" w:beforeLines="10" w:line="400" w:lineRule="exact"/>
              <w:rPr>
                <w:rFonts w:ascii="宋体"/>
                <w:b/>
                <w:snapToGrid w:val="0"/>
                <w:kern w:val="0"/>
                <w:sz w:val="32"/>
                <w:szCs w:val="32"/>
              </w:rPr>
            </w:pPr>
            <w:r>
              <w:rPr>
                <w:rFonts w:hint="eastAsia" w:ascii="仿宋_GB2312"/>
                <w:snapToGrid w:val="0"/>
                <w:kern w:val="0"/>
                <w:sz w:val="24"/>
              </w:rPr>
              <w:t xml:space="preserve">    5.企业主要负责人承诺书（申请定级的企业提交）。</w:t>
            </w:r>
          </w:p>
        </w:tc>
      </w:tr>
    </w:tbl>
    <w:p>
      <w:pPr>
        <w:spacing w:line="560" w:lineRule="exact"/>
        <w:jc w:val="center"/>
        <w:rPr>
          <w:rFonts w:ascii="黑体" w:eastAsia="黑体"/>
          <w:sz w:val="30"/>
          <w:szCs w:val="30"/>
        </w:rPr>
      </w:pPr>
    </w:p>
    <w:p>
      <w:pPr>
        <w:adjustRightInd w:val="0"/>
        <w:snapToGrid w:val="0"/>
        <w:spacing w:before="290" w:beforeLines="50" w:after="174" w:afterLines="30" w:line="560" w:lineRule="exact"/>
        <w:jc w:val="center"/>
        <w:rPr>
          <w:rFonts w:ascii="方正小标宋_GBK" w:hAnsi="方正小标宋_GBK" w:eastAsia="方正小标宋_GBK" w:cs="方正小标宋_GBK"/>
          <w:bCs/>
          <w:snapToGrid w:val="0"/>
          <w:kern w:val="0"/>
          <w:sz w:val="44"/>
          <w:szCs w:val="44"/>
        </w:rPr>
      </w:pPr>
    </w:p>
    <w:p>
      <w:pPr>
        <w:adjustRightInd w:val="0"/>
        <w:snapToGrid w:val="0"/>
        <w:spacing w:before="290" w:beforeLines="50" w:after="174" w:afterLines="30" w:line="560" w:lineRule="exact"/>
        <w:jc w:val="center"/>
        <w:rPr>
          <w:rFonts w:ascii="方正小标宋_GBK" w:hAnsi="方正小标宋_GBK" w:eastAsia="方正小标宋_GBK" w:cs="方正小标宋_GBK"/>
          <w:bCs/>
          <w:snapToGrid w:val="0"/>
          <w:kern w:val="0"/>
          <w:sz w:val="44"/>
          <w:szCs w:val="44"/>
        </w:rPr>
      </w:pPr>
      <w:r>
        <w:rPr>
          <w:rFonts w:hint="eastAsia" w:ascii="方正小标宋_GBK" w:hAnsi="方正小标宋_GBK" w:eastAsia="方正小标宋_GBK" w:cs="方正小标宋_GBK"/>
          <w:bCs/>
          <w:snapToGrid w:val="0"/>
          <w:kern w:val="0"/>
          <w:sz w:val="44"/>
          <w:szCs w:val="44"/>
        </w:rPr>
        <w:t>自评报告填写说明</w:t>
      </w:r>
    </w:p>
    <w:p>
      <w:pPr>
        <w:spacing w:line="560" w:lineRule="exact"/>
        <w:ind w:firstLine="640" w:firstLineChars="200"/>
        <w:rPr>
          <w:rFonts w:ascii="仿宋_GB2312" w:cs="宋体"/>
          <w:kern w:val="0"/>
          <w:sz w:val="32"/>
          <w:szCs w:val="32"/>
        </w:rPr>
      </w:pPr>
    </w:p>
    <w:p>
      <w:pPr>
        <w:spacing w:line="560" w:lineRule="exact"/>
        <w:ind w:firstLine="640" w:firstLineChars="200"/>
        <w:rPr>
          <w:rFonts w:ascii="仿宋_GB2312" w:cs="宋体"/>
          <w:kern w:val="0"/>
          <w:sz w:val="32"/>
          <w:szCs w:val="32"/>
        </w:rPr>
      </w:pPr>
      <w:r>
        <w:rPr>
          <w:rFonts w:hint="eastAsia" w:ascii="仿宋_GB2312" w:cs="宋体"/>
          <w:kern w:val="0"/>
          <w:sz w:val="32"/>
          <w:szCs w:val="32"/>
        </w:rPr>
        <w:t>1.企业名称、住所、类型按营业执照上登记的填写。</w:t>
      </w:r>
    </w:p>
    <w:p>
      <w:pPr>
        <w:spacing w:line="560" w:lineRule="exact"/>
        <w:ind w:firstLine="640" w:firstLineChars="200"/>
        <w:rPr>
          <w:rFonts w:ascii="仿宋_GB2312" w:cs="宋体"/>
          <w:kern w:val="0"/>
          <w:sz w:val="32"/>
          <w:szCs w:val="32"/>
        </w:rPr>
      </w:pPr>
      <w:r>
        <w:rPr>
          <w:rFonts w:hint="eastAsia" w:ascii="仿宋_GB2312" w:cs="宋体"/>
          <w:kern w:val="0"/>
          <w:sz w:val="32"/>
          <w:szCs w:val="32"/>
        </w:rPr>
        <w:t>2.所属行业：主要包括</w:t>
      </w:r>
      <w:r>
        <w:rPr>
          <w:rFonts w:ascii="仿宋_GB2312" w:cs="宋体"/>
          <w:kern w:val="0"/>
          <w:sz w:val="32"/>
          <w:szCs w:val="32"/>
        </w:rPr>
        <w:t>化工</w:t>
      </w:r>
      <w:r>
        <w:rPr>
          <w:rFonts w:hint="eastAsia" w:ascii="仿宋_GB2312" w:cs="宋体"/>
          <w:kern w:val="0"/>
          <w:sz w:val="32"/>
          <w:szCs w:val="32"/>
        </w:rPr>
        <w:t>（含石油化工）、医药、危险化学品、烟花爆竹、石油开采、冶金、有色、建材、机械、轻工、纺织、烟草、商贸等。</w:t>
      </w:r>
    </w:p>
    <w:p>
      <w:pPr>
        <w:spacing w:line="560" w:lineRule="exact"/>
        <w:ind w:firstLine="640" w:firstLineChars="200"/>
        <w:rPr>
          <w:rFonts w:ascii="仿宋_GB2312" w:cs="宋体"/>
          <w:kern w:val="0"/>
          <w:sz w:val="32"/>
          <w:szCs w:val="32"/>
        </w:rPr>
      </w:pPr>
      <w:r>
        <w:rPr>
          <w:rFonts w:hint="eastAsia" w:ascii="仿宋_GB2312" w:cs="宋体"/>
          <w:kern w:val="0"/>
          <w:sz w:val="32"/>
          <w:szCs w:val="32"/>
        </w:rPr>
        <w:t>3.专业：按所属行业中的划分填写，如冶金行业中的炼钢、轧钢专业，有色行业中的电解铝、氧化铝专业，建材行业中的水泥专业等。</w:t>
      </w:r>
    </w:p>
    <w:p>
      <w:pPr>
        <w:spacing w:line="560" w:lineRule="exact"/>
        <w:ind w:firstLine="640" w:firstLineChars="200"/>
        <w:rPr>
          <w:rFonts w:ascii="仿宋_GB2312" w:cs="宋体"/>
          <w:kern w:val="0"/>
          <w:sz w:val="32"/>
          <w:szCs w:val="32"/>
        </w:rPr>
      </w:pPr>
      <w:r>
        <w:rPr>
          <w:rFonts w:hint="eastAsia" w:ascii="仿宋_GB2312" w:cs="宋体"/>
          <w:kern w:val="0"/>
          <w:sz w:val="32"/>
          <w:szCs w:val="32"/>
        </w:rPr>
        <w:t>4.企业概况：主要包括经营范围</w:t>
      </w:r>
      <w:r>
        <w:rPr>
          <w:rFonts w:ascii="仿宋_GB2312" w:cs="宋体"/>
          <w:kern w:val="0"/>
          <w:sz w:val="32"/>
          <w:szCs w:val="32"/>
        </w:rPr>
        <w:t>、</w:t>
      </w:r>
      <w:r>
        <w:rPr>
          <w:rFonts w:hint="eastAsia" w:ascii="仿宋_GB2312" w:cs="宋体"/>
          <w:kern w:val="0"/>
          <w:sz w:val="32"/>
          <w:szCs w:val="32"/>
        </w:rPr>
        <w:t>主营业务</w:t>
      </w:r>
      <w:r>
        <w:rPr>
          <w:rFonts w:ascii="仿宋_GB2312" w:cs="宋体"/>
          <w:kern w:val="0"/>
          <w:sz w:val="32"/>
          <w:szCs w:val="32"/>
        </w:rPr>
        <w:t>、</w:t>
      </w:r>
      <w:r>
        <w:rPr>
          <w:rFonts w:hint="eastAsia" w:ascii="仿宋_GB2312" w:cs="宋体"/>
          <w:kern w:val="0"/>
          <w:sz w:val="32"/>
          <w:szCs w:val="32"/>
        </w:rPr>
        <w:t>企业规模（</w:t>
      </w:r>
      <w:r>
        <w:rPr>
          <w:rFonts w:ascii="仿宋_GB2312" w:cs="宋体"/>
          <w:kern w:val="0"/>
          <w:sz w:val="32"/>
          <w:szCs w:val="32"/>
        </w:rPr>
        <w:t>含</w:t>
      </w:r>
      <w:r>
        <w:rPr>
          <w:rFonts w:hint="eastAsia" w:ascii="仿宋_GB2312" w:cs="宋体"/>
          <w:kern w:val="0"/>
          <w:sz w:val="32"/>
          <w:szCs w:val="32"/>
        </w:rPr>
        <w:t>职工人数）</w:t>
      </w:r>
      <w:r>
        <w:rPr>
          <w:rFonts w:ascii="仿宋_GB2312" w:cs="宋体"/>
          <w:kern w:val="0"/>
          <w:sz w:val="32"/>
          <w:szCs w:val="32"/>
        </w:rPr>
        <w:t>、</w:t>
      </w:r>
      <w:r>
        <w:rPr>
          <w:rFonts w:hint="eastAsia" w:ascii="仿宋_GB2312" w:cs="宋体"/>
          <w:kern w:val="0"/>
          <w:sz w:val="32"/>
          <w:szCs w:val="32"/>
        </w:rPr>
        <w:t>机构设置</w:t>
      </w:r>
      <w:r>
        <w:rPr>
          <w:rFonts w:ascii="仿宋_GB2312" w:cs="宋体"/>
          <w:kern w:val="0"/>
          <w:sz w:val="32"/>
          <w:szCs w:val="32"/>
        </w:rPr>
        <w:t>、</w:t>
      </w:r>
      <w:r>
        <w:rPr>
          <w:rFonts w:hint="eastAsia" w:ascii="仿宋_GB2312" w:cs="宋体"/>
          <w:kern w:val="0"/>
          <w:sz w:val="32"/>
          <w:szCs w:val="32"/>
        </w:rPr>
        <w:t>在行业中所处地位</w:t>
      </w:r>
      <w:r>
        <w:rPr>
          <w:rFonts w:ascii="仿宋_GB2312" w:cs="宋体"/>
          <w:kern w:val="0"/>
          <w:sz w:val="32"/>
          <w:szCs w:val="32"/>
        </w:rPr>
        <w:t>、</w:t>
      </w:r>
      <w:r>
        <w:rPr>
          <w:rFonts w:hint="eastAsia" w:ascii="仿宋_GB2312" w:cs="宋体"/>
          <w:kern w:val="0"/>
          <w:sz w:val="32"/>
          <w:szCs w:val="32"/>
        </w:rPr>
        <w:t xml:space="preserve">安全生产工作特点等。 </w:t>
      </w:r>
    </w:p>
    <w:p>
      <w:pPr>
        <w:spacing w:line="560" w:lineRule="exact"/>
        <w:ind w:firstLine="640" w:firstLineChars="200"/>
        <w:rPr>
          <w:rFonts w:ascii="仿宋_GB2312" w:cs="宋体"/>
          <w:kern w:val="0"/>
          <w:sz w:val="32"/>
          <w:szCs w:val="32"/>
        </w:rPr>
      </w:pPr>
      <w:r>
        <w:rPr>
          <w:rFonts w:hint="eastAsia" w:ascii="仿宋_GB2312" w:cs="宋体"/>
          <w:kern w:val="0"/>
          <w:sz w:val="32"/>
          <w:szCs w:val="32"/>
        </w:rPr>
        <w:t>5.</w:t>
      </w:r>
      <w:r>
        <w:rPr>
          <w:rFonts w:ascii="仿宋_GB2312" w:cs="宋体"/>
          <w:kern w:val="0"/>
          <w:sz w:val="32"/>
          <w:szCs w:val="32"/>
        </w:rPr>
        <w:t>企业</w:t>
      </w:r>
      <w:r>
        <w:rPr>
          <w:rFonts w:hint="eastAsia" w:ascii="仿宋_GB2312" w:cs="宋体"/>
          <w:kern w:val="0"/>
          <w:sz w:val="32"/>
          <w:szCs w:val="32"/>
        </w:rPr>
        <w:t>生产安全事故情况：包括事故起数、伤亡人数、财产损失等，申请一级企业定级还需提供损失工作日、千人死亡率、千人重伤率、伤害频率、伤害严重率等数据。</w:t>
      </w:r>
    </w:p>
    <w:p>
      <w:pPr>
        <w:spacing w:line="560" w:lineRule="exact"/>
        <w:ind w:firstLine="640" w:firstLineChars="200"/>
        <w:rPr>
          <w:rFonts w:ascii="仿宋_GB2312" w:cs="宋体"/>
          <w:kern w:val="0"/>
          <w:sz w:val="32"/>
          <w:szCs w:val="32"/>
        </w:rPr>
      </w:pPr>
      <w:r>
        <w:rPr>
          <w:rFonts w:hint="eastAsia" w:ascii="仿宋_GB2312" w:cs="宋体"/>
          <w:kern w:val="0"/>
          <w:sz w:val="32"/>
          <w:szCs w:val="32"/>
        </w:rPr>
        <w:t>6.自评打分表（得分情况、扣分项目）及整改完成情况需另附表。</w:t>
      </w:r>
    </w:p>
    <w:p>
      <w:pPr>
        <w:spacing w:line="560" w:lineRule="exact"/>
        <w:ind w:firstLine="640" w:firstLineChars="200"/>
        <w:rPr>
          <w:rFonts w:hint="eastAsia" w:ascii="仿宋_GB2312" w:cs="宋体"/>
          <w:kern w:val="0"/>
          <w:sz w:val="32"/>
          <w:szCs w:val="32"/>
        </w:rPr>
      </w:pPr>
      <w:r>
        <w:rPr>
          <w:rFonts w:hint="eastAsia" w:ascii="仿宋_GB2312" w:cs="宋体"/>
          <w:kern w:val="0"/>
          <w:sz w:val="32"/>
          <w:szCs w:val="32"/>
        </w:rPr>
        <w:t>7.企业主要负责人承诺书内容应当符合定级办法第八条要求。</w:t>
      </w:r>
    </w:p>
    <w:p>
      <w:pPr>
        <w:pStyle w:val="2"/>
        <w:rPr>
          <w:rFonts w:hint="eastAsia" w:ascii="仿宋_GB2312" w:cs="宋体"/>
          <w:kern w:val="0"/>
          <w:sz w:val="32"/>
          <w:szCs w:val="32"/>
        </w:rPr>
      </w:pPr>
    </w:p>
    <w:p>
      <w:pPr>
        <w:pStyle w:val="2"/>
        <w:rPr>
          <w:rFonts w:hint="eastAsia" w:ascii="仿宋_GB2312" w:cs="宋体"/>
          <w:kern w:val="0"/>
          <w:sz w:val="32"/>
          <w:szCs w:val="32"/>
        </w:rPr>
      </w:pPr>
    </w:p>
    <w:p>
      <w:pPr>
        <w:pStyle w:val="2"/>
        <w:rPr>
          <w:rFonts w:hint="eastAsia" w:ascii="仿宋_GB2312" w:cs="宋体"/>
          <w:kern w:val="0"/>
          <w:sz w:val="32"/>
          <w:szCs w:val="32"/>
        </w:rPr>
      </w:pPr>
    </w:p>
    <w:p>
      <w:pPr>
        <w:rPr>
          <w:rFonts w:ascii="黑体" w:hAnsi="黑体" w:eastAsia="黑体" w:cs="黑体"/>
          <w:sz w:val="32"/>
          <w:szCs w:val="32"/>
        </w:rPr>
      </w:pPr>
      <w:r>
        <w:rPr>
          <w:rFonts w:hint="eastAsia" w:ascii="黑体" w:hAnsi="黑体" w:eastAsia="黑体" w:cs="黑体"/>
          <w:sz w:val="32"/>
          <w:szCs w:val="32"/>
        </w:rPr>
        <w:t>附件2</w:t>
      </w:r>
    </w:p>
    <w:p>
      <w:pPr>
        <w:ind w:firstLine="600" w:firstLineChars="200"/>
        <w:rPr>
          <w:sz w:val="30"/>
          <w:szCs w:val="30"/>
        </w:rPr>
      </w:pPr>
    </w:p>
    <w:p>
      <w:pPr>
        <w:adjustRightInd w:val="0"/>
        <w:snapToGrid w:val="0"/>
        <w:jc w:val="center"/>
        <w:rPr>
          <w:rFonts w:ascii="仿宋_GB2312"/>
          <w:snapToGrid w:val="0"/>
          <w:kern w:val="0"/>
          <w:sz w:val="32"/>
          <w:szCs w:val="32"/>
        </w:rPr>
      </w:pPr>
    </w:p>
    <w:p>
      <w:pPr>
        <w:adjustRightInd w:val="0"/>
        <w:snapToGrid w:val="0"/>
        <w:jc w:val="center"/>
        <w:rPr>
          <w:rFonts w:ascii="方正小标宋_GBK" w:hAnsi="方正小标宋_GBK" w:eastAsia="方正小标宋_GBK" w:cs="方正小标宋_GBK"/>
          <w:bCs/>
          <w:snapToGrid w:val="0"/>
          <w:kern w:val="0"/>
          <w:sz w:val="52"/>
          <w:szCs w:val="52"/>
        </w:rPr>
      </w:pPr>
      <w:r>
        <w:rPr>
          <w:rFonts w:hint="eastAsia" w:ascii="方正小标宋_GBK" w:hAnsi="方正小标宋_GBK" w:eastAsia="方正小标宋_GBK" w:cs="方正小标宋_GBK"/>
          <w:bCs/>
          <w:snapToGrid w:val="0"/>
          <w:spacing w:val="100"/>
          <w:kern w:val="0"/>
          <w:sz w:val="52"/>
          <w:szCs w:val="52"/>
        </w:rPr>
        <w:t>企业安全生产标准</w:t>
      </w:r>
      <w:r>
        <w:rPr>
          <w:rFonts w:hint="eastAsia" w:ascii="方正小标宋_GBK" w:hAnsi="方正小标宋_GBK" w:eastAsia="方正小标宋_GBK" w:cs="方正小标宋_GBK"/>
          <w:bCs/>
          <w:snapToGrid w:val="0"/>
          <w:kern w:val="0"/>
          <w:sz w:val="52"/>
          <w:szCs w:val="52"/>
        </w:rPr>
        <w:t>化</w:t>
      </w:r>
    </w:p>
    <w:p>
      <w:pPr>
        <w:adjustRightInd w:val="0"/>
        <w:snapToGrid w:val="0"/>
        <w:jc w:val="center"/>
        <w:rPr>
          <w:rFonts w:ascii="仿宋_GB2312"/>
          <w:snapToGrid w:val="0"/>
          <w:kern w:val="0"/>
          <w:sz w:val="32"/>
          <w:szCs w:val="32"/>
        </w:rPr>
      </w:pPr>
    </w:p>
    <w:p>
      <w:pPr>
        <w:adjustRightInd w:val="0"/>
        <w:snapToGrid w:val="0"/>
        <w:jc w:val="center"/>
        <w:rPr>
          <w:rFonts w:ascii="方正小标宋_GBK" w:hAnsi="方正小标宋_GBK" w:eastAsia="方正小标宋_GBK" w:cs="方正小标宋_GBK"/>
          <w:bCs/>
          <w:snapToGrid w:val="0"/>
          <w:kern w:val="0"/>
          <w:sz w:val="72"/>
          <w:szCs w:val="72"/>
        </w:rPr>
      </w:pPr>
      <w:r>
        <w:rPr>
          <w:rFonts w:hint="eastAsia" w:ascii="方正小标宋_GBK" w:hAnsi="方正小标宋_GBK" w:eastAsia="方正小标宋_GBK" w:cs="方正小标宋_GBK"/>
          <w:bCs/>
          <w:snapToGrid w:val="0"/>
          <w:spacing w:val="340"/>
          <w:kern w:val="0"/>
          <w:sz w:val="72"/>
          <w:szCs w:val="72"/>
        </w:rPr>
        <w:t>现场评审报</w:t>
      </w:r>
      <w:r>
        <w:rPr>
          <w:rFonts w:hint="eastAsia" w:ascii="方正小标宋_GBK" w:hAnsi="方正小标宋_GBK" w:eastAsia="方正小标宋_GBK" w:cs="方正小标宋_GBK"/>
          <w:bCs/>
          <w:snapToGrid w:val="0"/>
          <w:kern w:val="0"/>
          <w:sz w:val="72"/>
          <w:szCs w:val="72"/>
        </w:rPr>
        <w:t>告</w:t>
      </w: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700" w:lineRule="exact"/>
        <w:ind w:firstLine="1280" w:firstLineChars="400"/>
        <w:rPr>
          <w:rFonts w:ascii="仿宋_GB2312"/>
          <w:snapToGrid w:val="0"/>
          <w:kern w:val="0"/>
          <w:sz w:val="32"/>
          <w:szCs w:val="32"/>
          <w:u w:val="single"/>
        </w:rPr>
      </w:pPr>
      <w:r>
        <w:rPr>
          <w:rFonts w:hint="eastAsia" w:ascii="仿宋_GB2312"/>
          <w:snapToGrid w:val="0"/>
          <w:kern w:val="0"/>
          <w:sz w:val="32"/>
          <w:szCs w:val="32"/>
        </w:rPr>
        <w:t>负责现场评审的单位（盖章）</w:t>
      </w:r>
      <w:r>
        <w:rPr>
          <w:rFonts w:hint="eastAsia" w:ascii="仿宋_GB2312"/>
          <w:snapToGrid w:val="0"/>
          <w:kern w:val="0"/>
          <w:sz w:val="32"/>
          <w:szCs w:val="32"/>
          <w:u w:val="single"/>
        </w:rPr>
        <w:t xml:space="preserve">         </w:t>
      </w:r>
      <w:r>
        <w:rPr>
          <w:rFonts w:ascii="仿宋_GB2312"/>
          <w:snapToGrid w:val="0"/>
          <w:kern w:val="0"/>
          <w:sz w:val="32"/>
          <w:szCs w:val="32"/>
          <w:u w:val="single"/>
        </w:rPr>
        <w:t xml:space="preserve">  </w:t>
      </w:r>
      <w:r>
        <w:rPr>
          <w:rFonts w:hint="eastAsia" w:ascii="仿宋_GB2312"/>
          <w:snapToGrid w:val="0"/>
          <w:kern w:val="0"/>
          <w:sz w:val="32"/>
          <w:szCs w:val="32"/>
          <w:u w:val="single"/>
        </w:rPr>
        <w:t xml:space="preserve">   </w:t>
      </w:r>
    </w:p>
    <w:p>
      <w:pPr>
        <w:adjustRightInd w:val="0"/>
        <w:snapToGrid w:val="0"/>
        <w:spacing w:line="700" w:lineRule="exact"/>
        <w:ind w:firstLine="1280" w:firstLineChars="400"/>
        <w:rPr>
          <w:rFonts w:ascii="仿宋_GB2312"/>
          <w:snapToGrid w:val="0"/>
          <w:kern w:val="0"/>
          <w:sz w:val="32"/>
          <w:szCs w:val="32"/>
          <w:u w:val="single"/>
        </w:rPr>
      </w:pPr>
      <w:r>
        <w:rPr>
          <w:rFonts w:hint="eastAsia" w:ascii="仿宋_GB2312"/>
          <w:snapToGrid w:val="0"/>
          <w:kern w:val="0"/>
          <w:sz w:val="32"/>
          <w:szCs w:val="32"/>
        </w:rPr>
        <w:t>申请企业</w:t>
      </w:r>
      <w:r>
        <w:rPr>
          <w:rFonts w:hint="eastAsia" w:ascii="仿宋_GB2312"/>
          <w:snapToGrid w:val="0"/>
          <w:kern w:val="0"/>
          <w:sz w:val="32"/>
          <w:szCs w:val="32"/>
          <w:u w:val="single"/>
        </w:rPr>
        <w:t xml:space="preserve">                                </w:t>
      </w:r>
    </w:p>
    <w:p>
      <w:pPr>
        <w:adjustRightInd w:val="0"/>
        <w:snapToGrid w:val="0"/>
        <w:spacing w:line="700" w:lineRule="exact"/>
        <w:ind w:firstLine="1280" w:firstLineChars="400"/>
        <w:rPr>
          <w:rFonts w:ascii="仿宋_GB2312"/>
          <w:snapToGrid w:val="0"/>
          <w:kern w:val="0"/>
          <w:sz w:val="32"/>
          <w:szCs w:val="32"/>
        </w:rPr>
      </w:pPr>
      <w:r>
        <w:rPr>
          <w:rFonts w:hint="eastAsia" w:ascii="仿宋_GB2312"/>
          <w:snapToGrid w:val="0"/>
          <w:kern w:val="0"/>
          <w:sz w:val="32"/>
          <w:szCs w:val="32"/>
        </w:rPr>
        <w:t>行    业</w:t>
      </w:r>
      <w:r>
        <w:rPr>
          <w:rFonts w:hint="eastAsia" w:ascii="仿宋_GB2312"/>
          <w:snapToGrid w:val="0"/>
          <w:kern w:val="0"/>
          <w:sz w:val="32"/>
          <w:szCs w:val="32"/>
          <w:u w:val="single"/>
        </w:rPr>
        <w:t xml:space="preserve"> </w:t>
      </w:r>
      <w:r>
        <w:rPr>
          <w:rFonts w:ascii="仿宋_GB2312"/>
          <w:snapToGrid w:val="0"/>
          <w:kern w:val="0"/>
          <w:sz w:val="32"/>
          <w:szCs w:val="32"/>
          <w:u w:val="single"/>
        </w:rPr>
        <w:t xml:space="preserve">   </w:t>
      </w:r>
      <w:r>
        <w:rPr>
          <w:rFonts w:hint="eastAsia" w:ascii="仿宋_GB2312"/>
          <w:snapToGrid w:val="0"/>
          <w:kern w:val="0"/>
          <w:sz w:val="32"/>
          <w:szCs w:val="32"/>
          <w:u w:val="single"/>
        </w:rPr>
        <w:t xml:space="preserve">        </w:t>
      </w:r>
      <w:r>
        <w:rPr>
          <w:rFonts w:hint="eastAsia" w:ascii="仿宋_GB2312"/>
          <w:snapToGrid w:val="0"/>
          <w:kern w:val="0"/>
          <w:sz w:val="32"/>
          <w:szCs w:val="32"/>
        </w:rPr>
        <w:t>专    业</w:t>
      </w:r>
      <w:r>
        <w:rPr>
          <w:rFonts w:hint="eastAsia" w:ascii="仿宋_GB2312"/>
          <w:snapToGrid w:val="0"/>
          <w:kern w:val="0"/>
          <w:sz w:val="32"/>
          <w:szCs w:val="32"/>
          <w:u w:val="single"/>
        </w:rPr>
        <w:t xml:space="preserve">            </w:t>
      </w:r>
    </w:p>
    <w:p>
      <w:pPr>
        <w:adjustRightInd w:val="0"/>
        <w:snapToGrid w:val="0"/>
        <w:spacing w:line="700" w:lineRule="exact"/>
        <w:ind w:firstLine="1280" w:firstLineChars="400"/>
        <w:rPr>
          <w:rFonts w:ascii="仿宋_GB2312"/>
          <w:snapToGrid w:val="0"/>
          <w:kern w:val="0"/>
          <w:sz w:val="32"/>
          <w:szCs w:val="32"/>
        </w:rPr>
      </w:pPr>
      <w:r>
        <w:rPr>
          <w:rFonts w:hint="eastAsia" w:ascii="仿宋_GB2312"/>
          <w:snapToGrid w:val="0"/>
          <w:kern w:val="0"/>
          <w:sz w:val="32"/>
          <w:szCs w:val="32"/>
        </w:rPr>
        <w:t>评审性质</w:t>
      </w:r>
      <w:r>
        <w:rPr>
          <w:rFonts w:hint="eastAsia" w:ascii="仿宋_GB2312"/>
          <w:snapToGrid w:val="0"/>
          <w:kern w:val="0"/>
          <w:sz w:val="32"/>
          <w:szCs w:val="32"/>
          <w:u w:val="single"/>
        </w:rPr>
        <w:t xml:space="preserve"> 初评/复评  </w:t>
      </w:r>
      <w:r>
        <w:rPr>
          <w:rFonts w:hint="eastAsia" w:ascii="仿宋_GB2312"/>
          <w:snapToGrid w:val="0"/>
          <w:kern w:val="0"/>
          <w:sz w:val="32"/>
          <w:szCs w:val="32"/>
        </w:rPr>
        <w:t>申请等级</w:t>
      </w:r>
      <w:r>
        <w:rPr>
          <w:rFonts w:hint="eastAsia" w:ascii="仿宋_GB2312"/>
          <w:snapToGrid w:val="0"/>
          <w:kern w:val="0"/>
          <w:sz w:val="32"/>
          <w:szCs w:val="32"/>
          <w:u w:val="single"/>
        </w:rPr>
        <w:t xml:space="preserve">            </w:t>
      </w:r>
    </w:p>
    <w:p>
      <w:pPr>
        <w:adjustRightInd w:val="0"/>
        <w:snapToGrid w:val="0"/>
        <w:spacing w:line="700" w:lineRule="exact"/>
        <w:ind w:firstLine="1280" w:firstLineChars="400"/>
        <w:rPr>
          <w:rFonts w:ascii="仿宋_GB2312"/>
          <w:snapToGrid w:val="0"/>
          <w:kern w:val="0"/>
          <w:sz w:val="32"/>
          <w:szCs w:val="32"/>
          <w:u w:val="single"/>
        </w:rPr>
      </w:pPr>
      <w:r>
        <w:rPr>
          <w:rFonts w:hint="eastAsia" w:ascii="仿宋_GB2312"/>
          <w:snapToGrid w:val="0"/>
          <w:kern w:val="0"/>
          <w:sz w:val="32"/>
          <w:szCs w:val="32"/>
        </w:rPr>
        <w:t>评审日期</w:t>
      </w:r>
      <w:r>
        <w:rPr>
          <w:rFonts w:hint="eastAsia" w:ascii="仿宋_GB2312"/>
          <w:snapToGrid w:val="0"/>
          <w:kern w:val="0"/>
          <w:sz w:val="32"/>
          <w:szCs w:val="32"/>
          <w:u w:val="single"/>
        </w:rPr>
        <w:t xml:space="preserve">    </w:t>
      </w:r>
      <w:r>
        <w:rPr>
          <w:rFonts w:hint="eastAsia" w:ascii="仿宋_GB2312"/>
          <w:snapToGrid w:val="0"/>
          <w:kern w:val="0"/>
          <w:sz w:val="32"/>
          <w:szCs w:val="32"/>
        </w:rPr>
        <w:t>年</w:t>
      </w:r>
      <w:r>
        <w:rPr>
          <w:rFonts w:hint="eastAsia" w:ascii="仿宋_GB2312"/>
          <w:snapToGrid w:val="0"/>
          <w:kern w:val="0"/>
          <w:sz w:val="32"/>
          <w:szCs w:val="32"/>
          <w:u w:val="single"/>
        </w:rPr>
        <w:t xml:space="preserve">   </w:t>
      </w:r>
      <w:r>
        <w:rPr>
          <w:rFonts w:hint="eastAsia" w:ascii="仿宋_GB2312"/>
          <w:snapToGrid w:val="0"/>
          <w:kern w:val="0"/>
          <w:sz w:val="32"/>
          <w:szCs w:val="32"/>
        </w:rPr>
        <w:t>月</w:t>
      </w:r>
      <w:r>
        <w:rPr>
          <w:rFonts w:hint="eastAsia" w:ascii="仿宋_GB2312"/>
          <w:snapToGrid w:val="0"/>
          <w:kern w:val="0"/>
          <w:sz w:val="32"/>
          <w:szCs w:val="32"/>
          <w:u w:val="single"/>
        </w:rPr>
        <w:t xml:space="preserve">   </w:t>
      </w:r>
      <w:r>
        <w:rPr>
          <w:rFonts w:hint="eastAsia" w:ascii="仿宋_GB2312"/>
          <w:snapToGrid w:val="0"/>
          <w:kern w:val="0"/>
          <w:sz w:val="32"/>
          <w:szCs w:val="32"/>
        </w:rPr>
        <w:t>日至</w:t>
      </w:r>
      <w:r>
        <w:rPr>
          <w:rFonts w:hint="eastAsia" w:ascii="仿宋_GB2312"/>
          <w:snapToGrid w:val="0"/>
          <w:kern w:val="0"/>
          <w:sz w:val="32"/>
          <w:szCs w:val="32"/>
          <w:u w:val="single"/>
        </w:rPr>
        <w:t xml:space="preserve">    </w:t>
      </w:r>
      <w:r>
        <w:rPr>
          <w:rFonts w:hint="eastAsia" w:ascii="仿宋_GB2312"/>
          <w:snapToGrid w:val="0"/>
          <w:kern w:val="0"/>
          <w:sz w:val="32"/>
          <w:szCs w:val="32"/>
        </w:rPr>
        <w:t>年</w:t>
      </w:r>
      <w:r>
        <w:rPr>
          <w:rFonts w:hint="eastAsia" w:ascii="仿宋_GB2312"/>
          <w:snapToGrid w:val="0"/>
          <w:kern w:val="0"/>
          <w:sz w:val="32"/>
          <w:szCs w:val="32"/>
          <w:u w:val="single"/>
        </w:rPr>
        <w:t xml:space="preserve">   </w:t>
      </w:r>
      <w:r>
        <w:rPr>
          <w:rFonts w:hint="eastAsia" w:ascii="仿宋_GB2312"/>
          <w:snapToGrid w:val="0"/>
          <w:kern w:val="0"/>
          <w:sz w:val="32"/>
          <w:szCs w:val="32"/>
        </w:rPr>
        <w:t>月</w:t>
      </w:r>
      <w:r>
        <w:rPr>
          <w:rFonts w:hint="eastAsia" w:ascii="仿宋_GB2312"/>
          <w:snapToGrid w:val="0"/>
          <w:kern w:val="0"/>
          <w:sz w:val="32"/>
          <w:szCs w:val="32"/>
          <w:u w:val="single"/>
        </w:rPr>
        <w:t xml:space="preserve">   </w:t>
      </w:r>
      <w:r>
        <w:rPr>
          <w:rFonts w:hint="eastAsia" w:ascii="仿宋_GB2312"/>
          <w:snapToGrid w:val="0"/>
          <w:kern w:val="0"/>
          <w:sz w:val="32"/>
          <w:szCs w:val="32"/>
        </w:rPr>
        <w:t>日</w:t>
      </w:r>
    </w:p>
    <w:p>
      <w:pPr>
        <w:adjustRightInd w:val="0"/>
        <w:snapToGrid w:val="0"/>
        <w:spacing w:line="700" w:lineRule="exact"/>
        <w:jc w:val="center"/>
        <w:rPr>
          <w:rFonts w:ascii="仿宋_GB2312"/>
          <w:snapToGrid w:val="0"/>
          <w:kern w:val="0"/>
          <w:sz w:val="32"/>
          <w:szCs w:val="32"/>
        </w:rPr>
      </w:pPr>
    </w:p>
    <w:p>
      <w:pPr>
        <w:adjustRightInd w:val="0"/>
        <w:snapToGrid w:val="0"/>
        <w:spacing w:line="700" w:lineRule="exact"/>
        <w:jc w:val="center"/>
        <w:rPr>
          <w:rFonts w:ascii="仿宋_GB2312"/>
          <w:snapToGrid w:val="0"/>
          <w:kern w:val="0"/>
          <w:sz w:val="32"/>
          <w:szCs w:val="32"/>
        </w:rPr>
      </w:pPr>
    </w:p>
    <w:tbl>
      <w:tblPr>
        <w:tblStyle w:val="12"/>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714"/>
        <w:gridCol w:w="1427"/>
        <w:gridCol w:w="1424"/>
        <w:gridCol w:w="1667"/>
        <w:gridCol w:w="126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9080" w:type="dxa"/>
            <w:gridSpan w:val="7"/>
            <w:vAlign w:val="center"/>
          </w:tcPr>
          <w:p>
            <w:pPr>
              <w:adjustRightInd w:val="0"/>
              <w:snapToGrid w:val="0"/>
              <w:spacing w:before="87" w:beforeLines="15"/>
              <w:jc w:val="center"/>
              <w:rPr>
                <w:rFonts w:ascii="黑体" w:eastAsia="黑体"/>
                <w:snapToGrid w:val="0"/>
                <w:kern w:val="0"/>
                <w:sz w:val="28"/>
                <w:szCs w:val="28"/>
              </w:rPr>
            </w:pPr>
            <w:r>
              <w:rPr>
                <w:rFonts w:hint="eastAsia" w:ascii="黑体" w:eastAsia="黑体"/>
                <w:snapToGrid w:val="0"/>
                <w:kern w:val="0"/>
                <w:sz w:val="28"/>
                <w:szCs w:val="28"/>
              </w:rPr>
              <w:t>负责现场评审的单位情况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430"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单位名称</w:t>
            </w:r>
          </w:p>
        </w:tc>
        <w:tc>
          <w:tcPr>
            <w:tcW w:w="7650" w:type="dxa"/>
            <w:gridSpan w:val="5"/>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430"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单位地址</w:t>
            </w:r>
          </w:p>
        </w:tc>
        <w:tc>
          <w:tcPr>
            <w:tcW w:w="7650" w:type="dxa"/>
            <w:gridSpan w:val="5"/>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430"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spacing w:val="-32"/>
                <w:kern w:val="0"/>
                <w:sz w:val="24"/>
              </w:rPr>
              <w:t>主要负责</w:t>
            </w:r>
            <w:r>
              <w:rPr>
                <w:rFonts w:hint="eastAsia" w:ascii="仿宋_GB2312"/>
                <w:snapToGrid w:val="0"/>
                <w:kern w:val="0"/>
                <w:sz w:val="24"/>
              </w:rPr>
              <w:t>人</w:t>
            </w:r>
          </w:p>
        </w:tc>
        <w:tc>
          <w:tcPr>
            <w:tcW w:w="1427" w:type="dxa"/>
            <w:vAlign w:val="center"/>
          </w:tcPr>
          <w:p>
            <w:pPr>
              <w:adjustRightInd w:val="0"/>
              <w:snapToGrid w:val="0"/>
              <w:spacing w:before="87" w:beforeLines="15"/>
              <w:jc w:val="center"/>
              <w:rPr>
                <w:rFonts w:ascii="仿宋_GB2312"/>
                <w:snapToGrid w:val="0"/>
                <w:kern w:val="0"/>
                <w:sz w:val="24"/>
              </w:rPr>
            </w:pPr>
          </w:p>
        </w:tc>
        <w:tc>
          <w:tcPr>
            <w:tcW w:w="1424"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667" w:type="dxa"/>
            <w:vAlign w:val="center"/>
          </w:tcPr>
          <w:p>
            <w:pPr>
              <w:adjustRightInd w:val="0"/>
              <w:snapToGrid w:val="0"/>
              <w:spacing w:before="87" w:beforeLines="15"/>
              <w:jc w:val="center"/>
              <w:rPr>
                <w:rFonts w:ascii="仿宋_GB2312"/>
                <w:snapToGrid w:val="0"/>
                <w:kern w:val="0"/>
                <w:sz w:val="24"/>
              </w:rPr>
            </w:pPr>
          </w:p>
        </w:tc>
        <w:tc>
          <w:tcPr>
            <w:tcW w:w="1269"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手  机</w:t>
            </w:r>
          </w:p>
        </w:tc>
        <w:tc>
          <w:tcPr>
            <w:tcW w:w="1863"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430" w:type="dxa"/>
            <w:gridSpan w:val="2"/>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联 系 人</w:t>
            </w:r>
          </w:p>
        </w:tc>
        <w:tc>
          <w:tcPr>
            <w:tcW w:w="1427" w:type="dxa"/>
            <w:vMerge w:val="restart"/>
            <w:vAlign w:val="center"/>
          </w:tcPr>
          <w:p>
            <w:pPr>
              <w:adjustRightInd w:val="0"/>
              <w:snapToGrid w:val="0"/>
              <w:spacing w:before="87" w:beforeLines="15"/>
              <w:jc w:val="center"/>
              <w:rPr>
                <w:rFonts w:ascii="仿宋_GB2312"/>
                <w:snapToGrid w:val="0"/>
                <w:kern w:val="0"/>
                <w:sz w:val="24"/>
              </w:rPr>
            </w:pPr>
          </w:p>
        </w:tc>
        <w:tc>
          <w:tcPr>
            <w:tcW w:w="1424"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667" w:type="dxa"/>
            <w:vAlign w:val="center"/>
          </w:tcPr>
          <w:p>
            <w:pPr>
              <w:adjustRightInd w:val="0"/>
              <w:snapToGrid w:val="0"/>
              <w:spacing w:before="87" w:beforeLines="15"/>
              <w:jc w:val="center"/>
              <w:rPr>
                <w:rFonts w:ascii="仿宋_GB2312"/>
                <w:snapToGrid w:val="0"/>
                <w:kern w:val="0"/>
                <w:sz w:val="24"/>
              </w:rPr>
            </w:pPr>
          </w:p>
        </w:tc>
        <w:tc>
          <w:tcPr>
            <w:tcW w:w="1269"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传  真</w:t>
            </w:r>
          </w:p>
        </w:tc>
        <w:tc>
          <w:tcPr>
            <w:tcW w:w="1863"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430" w:type="dxa"/>
            <w:gridSpan w:val="2"/>
            <w:vMerge w:val="continue"/>
            <w:vAlign w:val="center"/>
          </w:tcPr>
          <w:p>
            <w:pPr>
              <w:adjustRightInd w:val="0"/>
              <w:snapToGrid w:val="0"/>
              <w:spacing w:before="87" w:beforeLines="15"/>
              <w:jc w:val="center"/>
              <w:rPr>
                <w:rFonts w:ascii="仿宋_GB2312"/>
                <w:snapToGrid w:val="0"/>
                <w:kern w:val="0"/>
                <w:sz w:val="24"/>
              </w:rPr>
            </w:pPr>
          </w:p>
        </w:tc>
        <w:tc>
          <w:tcPr>
            <w:tcW w:w="1427" w:type="dxa"/>
            <w:vMerge w:val="continue"/>
            <w:vAlign w:val="center"/>
          </w:tcPr>
          <w:p>
            <w:pPr>
              <w:adjustRightInd w:val="0"/>
              <w:snapToGrid w:val="0"/>
              <w:spacing w:before="87" w:beforeLines="15"/>
              <w:jc w:val="center"/>
              <w:rPr>
                <w:rFonts w:ascii="仿宋_GB2312"/>
                <w:snapToGrid w:val="0"/>
                <w:kern w:val="0"/>
                <w:sz w:val="24"/>
              </w:rPr>
            </w:pPr>
          </w:p>
        </w:tc>
        <w:tc>
          <w:tcPr>
            <w:tcW w:w="1424"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手  机</w:t>
            </w:r>
          </w:p>
        </w:tc>
        <w:tc>
          <w:tcPr>
            <w:tcW w:w="1667" w:type="dxa"/>
            <w:vAlign w:val="center"/>
          </w:tcPr>
          <w:p>
            <w:pPr>
              <w:adjustRightInd w:val="0"/>
              <w:snapToGrid w:val="0"/>
              <w:spacing w:before="87" w:beforeLines="15"/>
              <w:jc w:val="center"/>
              <w:rPr>
                <w:rFonts w:ascii="仿宋_GB2312"/>
                <w:snapToGrid w:val="0"/>
                <w:kern w:val="0"/>
                <w:sz w:val="24"/>
              </w:rPr>
            </w:pPr>
          </w:p>
        </w:tc>
        <w:tc>
          <w:tcPr>
            <w:tcW w:w="1269"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电子信箱</w:t>
            </w:r>
          </w:p>
        </w:tc>
        <w:tc>
          <w:tcPr>
            <w:tcW w:w="1863"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16" w:type="dxa"/>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现场评审组成员</w:t>
            </w:r>
          </w:p>
        </w:tc>
        <w:tc>
          <w:tcPr>
            <w:tcW w:w="714" w:type="dxa"/>
            <w:vAlign w:val="center"/>
          </w:tcPr>
          <w:p>
            <w:pPr>
              <w:adjustRightInd w:val="0"/>
              <w:snapToGrid w:val="0"/>
              <w:spacing w:before="87" w:beforeLines="15"/>
              <w:jc w:val="center"/>
              <w:rPr>
                <w:rFonts w:ascii="仿宋_GB2312"/>
                <w:snapToGrid w:val="0"/>
                <w:kern w:val="0"/>
                <w:sz w:val="24"/>
              </w:rPr>
            </w:pPr>
          </w:p>
        </w:tc>
        <w:tc>
          <w:tcPr>
            <w:tcW w:w="1427" w:type="dxa"/>
            <w:vAlign w:val="center"/>
          </w:tcPr>
          <w:p>
            <w:pPr>
              <w:adjustRightInd w:val="0"/>
              <w:snapToGrid w:val="0"/>
              <w:spacing w:before="87" w:beforeLines="15"/>
              <w:jc w:val="center"/>
              <w:rPr>
                <w:rFonts w:ascii="仿宋_GB2312"/>
                <w:snapToGrid w:val="0"/>
                <w:spacing w:val="-10"/>
                <w:kern w:val="0"/>
                <w:sz w:val="24"/>
              </w:rPr>
            </w:pPr>
            <w:r>
              <w:rPr>
                <w:rFonts w:hint="eastAsia" w:ascii="仿宋_GB2312"/>
                <w:snapToGrid w:val="0"/>
                <w:spacing w:val="-10"/>
                <w:kern w:val="0"/>
                <w:sz w:val="24"/>
              </w:rPr>
              <w:t>姓  名</w:t>
            </w:r>
          </w:p>
        </w:tc>
        <w:tc>
          <w:tcPr>
            <w:tcW w:w="3091" w:type="dxa"/>
            <w:gridSpan w:val="2"/>
            <w:vAlign w:val="center"/>
          </w:tcPr>
          <w:p>
            <w:pPr>
              <w:adjustRightInd w:val="0"/>
              <w:snapToGrid w:val="0"/>
              <w:spacing w:before="87" w:beforeLines="15"/>
              <w:jc w:val="center"/>
              <w:rPr>
                <w:rFonts w:ascii="仿宋_GB2312"/>
                <w:snapToGrid w:val="0"/>
                <w:spacing w:val="-10"/>
                <w:kern w:val="0"/>
                <w:sz w:val="24"/>
              </w:rPr>
            </w:pPr>
            <w:r>
              <w:rPr>
                <w:rFonts w:hint="eastAsia" w:ascii="仿宋_GB2312"/>
                <w:snapToGrid w:val="0"/>
                <w:spacing w:val="-10"/>
                <w:kern w:val="0"/>
                <w:sz w:val="24"/>
              </w:rPr>
              <w:t>单位/职务/职称</w:t>
            </w:r>
          </w:p>
        </w:tc>
        <w:tc>
          <w:tcPr>
            <w:tcW w:w="1269" w:type="dxa"/>
            <w:vAlign w:val="center"/>
          </w:tcPr>
          <w:p>
            <w:pPr>
              <w:adjustRightInd w:val="0"/>
              <w:snapToGrid w:val="0"/>
              <w:spacing w:before="87" w:beforeLines="15"/>
              <w:jc w:val="center"/>
              <w:rPr>
                <w:rFonts w:ascii="仿宋_GB2312"/>
                <w:snapToGrid w:val="0"/>
                <w:spacing w:val="-10"/>
                <w:kern w:val="0"/>
                <w:sz w:val="24"/>
              </w:rPr>
            </w:pPr>
            <w:r>
              <w:rPr>
                <w:rFonts w:hint="eastAsia" w:ascii="仿宋_GB2312"/>
                <w:snapToGrid w:val="0"/>
                <w:spacing w:val="-10"/>
                <w:kern w:val="0"/>
                <w:sz w:val="24"/>
              </w:rPr>
              <w:t>电   话</w:t>
            </w:r>
          </w:p>
        </w:tc>
        <w:tc>
          <w:tcPr>
            <w:tcW w:w="1863" w:type="dxa"/>
            <w:vAlign w:val="center"/>
          </w:tcPr>
          <w:p>
            <w:pPr>
              <w:adjustRightInd w:val="0"/>
              <w:snapToGrid w:val="0"/>
              <w:spacing w:before="87" w:beforeLines="15"/>
              <w:jc w:val="center"/>
              <w:rPr>
                <w:rFonts w:ascii="仿宋_GB2312"/>
                <w:snapToGrid w:val="0"/>
                <w:spacing w:val="-10"/>
                <w:kern w:val="0"/>
                <w:sz w:val="24"/>
              </w:rPr>
            </w:pPr>
            <w:r>
              <w:rPr>
                <w:rFonts w:hint="eastAsia" w:ascii="仿宋_GB2312"/>
                <w:snapToGrid w:val="0"/>
                <w:spacing w:val="-10"/>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16" w:type="dxa"/>
            <w:vMerge w:val="continue"/>
            <w:vAlign w:val="center"/>
          </w:tcPr>
          <w:p>
            <w:pPr>
              <w:adjustRightInd w:val="0"/>
              <w:snapToGrid w:val="0"/>
              <w:spacing w:before="87" w:beforeLines="15"/>
              <w:jc w:val="center"/>
              <w:rPr>
                <w:rFonts w:ascii="仿宋_GB2312"/>
                <w:snapToGrid w:val="0"/>
                <w:kern w:val="0"/>
                <w:sz w:val="24"/>
              </w:rPr>
            </w:pPr>
          </w:p>
        </w:tc>
        <w:tc>
          <w:tcPr>
            <w:tcW w:w="714"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组长</w:t>
            </w:r>
          </w:p>
        </w:tc>
        <w:tc>
          <w:tcPr>
            <w:tcW w:w="1427" w:type="dxa"/>
            <w:vAlign w:val="center"/>
          </w:tcPr>
          <w:p>
            <w:pPr>
              <w:adjustRightInd w:val="0"/>
              <w:snapToGrid w:val="0"/>
              <w:spacing w:before="87" w:beforeLines="15"/>
              <w:jc w:val="center"/>
              <w:rPr>
                <w:rFonts w:ascii="仿宋_GB2312"/>
                <w:snapToGrid w:val="0"/>
                <w:kern w:val="0"/>
                <w:sz w:val="24"/>
              </w:rPr>
            </w:pPr>
          </w:p>
        </w:tc>
        <w:tc>
          <w:tcPr>
            <w:tcW w:w="3091" w:type="dxa"/>
            <w:gridSpan w:val="2"/>
            <w:vAlign w:val="center"/>
          </w:tcPr>
          <w:p>
            <w:pPr>
              <w:adjustRightInd w:val="0"/>
              <w:snapToGrid w:val="0"/>
              <w:spacing w:before="87" w:beforeLines="15"/>
              <w:jc w:val="center"/>
              <w:rPr>
                <w:rFonts w:ascii="仿宋_GB2312"/>
                <w:snapToGrid w:val="0"/>
                <w:kern w:val="0"/>
                <w:sz w:val="24"/>
              </w:rPr>
            </w:pPr>
          </w:p>
        </w:tc>
        <w:tc>
          <w:tcPr>
            <w:tcW w:w="1269" w:type="dxa"/>
            <w:vAlign w:val="center"/>
          </w:tcPr>
          <w:p>
            <w:pPr>
              <w:adjustRightInd w:val="0"/>
              <w:snapToGrid w:val="0"/>
              <w:spacing w:before="87" w:beforeLines="15"/>
              <w:jc w:val="center"/>
              <w:rPr>
                <w:rFonts w:ascii="仿宋_GB2312"/>
                <w:snapToGrid w:val="0"/>
                <w:kern w:val="0"/>
                <w:sz w:val="24"/>
              </w:rPr>
            </w:pPr>
          </w:p>
        </w:tc>
        <w:tc>
          <w:tcPr>
            <w:tcW w:w="1863"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16" w:type="dxa"/>
            <w:vMerge w:val="continue"/>
            <w:vAlign w:val="center"/>
          </w:tcPr>
          <w:p>
            <w:pPr>
              <w:adjustRightInd w:val="0"/>
              <w:snapToGrid w:val="0"/>
              <w:spacing w:before="87" w:beforeLines="15"/>
              <w:jc w:val="center"/>
              <w:rPr>
                <w:rFonts w:ascii="仿宋_GB2312"/>
                <w:snapToGrid w:val="0"/>
                <w:kern w:val="0"/>
                <w:sz w:val="24"/>
              </w:rPr>
            </w:pPr>
          </w:p>
        </w:tc>
        <w:tc>
          <w:tcPr>
            <w:tcW w:w="714" w:type="dxa"/>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成员</w:t>
            </w:r>
          </w:p>
        </w:tc>
        <w:tc>
          <w:tcPr>
            <w:tcW w:w="1427" w:type="dxa"/>
            <w:vAlign w:val="center"/>
          </w:tcPr>
          <w:p>
            <w:pPr>
              <w:adjustRightInd w:val="0"/>
              <w:snapToGrid w:val="0"/>
              <w:spacing w:before="87" w:beforeLines="15"/>
              <w:jc w:val="center"/>
              <w:rPr>
                <w:rFonts w:ascii="仿宋_GB2312"/>
                <w:snapToGrid w:val="0"/>
                <w:kern w:val="0"/>
                <w:sz w:val="24"/>
              </w:rPr>
            </w:pPr>
          </w:p>
        </w:tc>
        <w:tc>
          <w:tcPr>
            <w:tcW w:w="3091" w:type="dxa"/>
            <w:gridSpan w:val="2"/>
            <w:vAlign w:val="center"/>
          </w:tcPr>
          <w:p>
            <w:pPr>
              <w:adjustRightInd w:val="0"/>
              <w:snapToGrid w:val="0"/>
              <w:spacing w:before="87" w:beforeLines="15"/>
              <w:jc w:val="center"/>
              <w:rPr>
                <w:rFonts w:ascii="仿宋_GB2312"/>
                <w:snapToGrid w:val="0"/>
                <w:kern w:val="0"/>
                <w:sz w:val="24"/>
              </w:rPr>
            </w:pPr>
          </w:p>
        </w:tc>
        <w:tc>
          <w:tcPr>
            <w:tcW w:w="1269" w:type="dxa"/>
            <w:vAlign w:val="center"/>
          </w:tcPr>
          <w:p>
            <w:pPr>
              <w:adjustRightInd w:val="0"/>
              <w:snapToGrid w:val="0"/>
              <w:spacing w:before="87" w:beforeLines="15"/>
              <w:jc w:val="center"/>
              <w:rPr>
                <w:rFonts w:ascii="仿宋_GB2312"/>
                <w:snapToGrid w:val="0"/>
                <w:kern w:val="0"/>
                <w:sz w:val="24"/>
              </w:rPr>
            </w:pPr>
          </w:p>
        </w:tc>
        <w:tc>
          <w:tcPr>
            <w:tcW w:w="1863"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16" w:type="dxa"/>
            <w:vMerge w:val="continue"/>
            <w:vAlign w:val="center"/>
          </w:tcPr>
          <w:p>
            <w:pPr>
              <w:adjustRightInd w:val="0"/>
              <w:snapToGrid w:val="0"/>
              <w:spacing w:before="87" w:beforeLines="15"/>
              <w:jc w:val="center"/>
              <w:rPr>
                <w:rFonts w:ascii="仿宋_GB2312"/>
                <w:snapToGrid w:val="0"/>
                <w:kern w:val="0"/>
                <w:sz w:val="24"/>
              </w:rPr>
            </w:pPr>
          </w:p>
        </w:tc>
        <w:tc>
          <w:tcPr>
            <w:tcW w:w="714" w:type="dxa"/>
            <w:vMerge w:val="continue"/>
            <w:vAlign w:val="center"/>
          </w:tcPr>
          <w:p>
            <w:pPr>
              <w:adjustRightInd w:val="0"/>
              <w:snapToGrid w:val="0"/>
              <w:spacing w:before="87" w:beforeLines="15"/>
              <w:jc w:val="center"/>
              <w:rPr>
                <w:rFonts w:ascii="仿宋_GB2312"/>
                <w:snapToGrid w:val="0"/>
                <w:kern w:val="0"/>
                <w:sz w:val="24"/>
              </w:rPr>
            </w:pPr>
          </w:p>
        </w:tc>
        <w:tc>
          <w:tcPr>
            <w:tcW w:w="1427" w:type="dxa"/>
            <w:vAlign w:val="center"/>
          </w:tcPr>
          <w:p>
            <w:pPr>
              <w:adjustRightInd w:val="0"/>
              <w:snapToGrid w:val="0"/>
              <w:spacing w:before="87" w:beforeLines="15"/>
              <w:jc w:val="center"/>
              <w:rPr>
                <w:rFonts w:ascii="仿宋_GB2312"/>
                <w:snapToGrid w:val="0"/>
                <w:kern w:val="0"/>
                <w:sz w:val="24"/>
              </w:rPr>
            </w:pPr>
          </w:p>
        </w:tc>
        <w:tc>
          <w:tcPr>
            <w:tcW w:w="3091" w:type="dxa"/>
            <w:gridSpan w:val="2"/>
            <w:vAlign w:val="center"/>
          </w:tcPr>
          <w:p>
            <w:pPr>
              <w:adjustRightInd w:val="0"/>
              <w:snapToGrid w:val="0"/>
              <w:spacing w:before="87" w:beforeLines="15"/>
              <w:jc w:val="center"/>
              <w:rPr>
                <w:rFonts w:ascii="仿宋_GB2312"/>
                <w:snapToGrid w:val="0"/>
                <w:kern w:val="0"/>
                <w:sz w:val="24"/>
              </w:rPr>
            </w:pPr>
          </w:p>
        </w:tc>
        <w:tc>
          <w:tcPr>
            <w:tcW w:w="1269" w:type="dxa"/>
            <w:vAlign w:val="center"/>
          </w:tcPr>
          <w:p>
            <w:pPr>
              <w:adjustRightInd w:val="0"/>
              <w:snapToGrid w:val="0"/>
              <w:spacing w:before="87" w:beforeLines="15"/>
              <w:jc w:val="center"/>
              <w:rPr>
                <w:rFonts w:ascii="仿宋_GB2312"/>
                <w:snapToGrid w:val="0"/>
                <w:kern w:val="0"/>
                <w:sz w:val="24"/>
              </w:rPr>
            </w:pPr>
          </w:p>
        </w:tc>
        <w:tc>
          <w:tcPr>
            <w:tcW w:w="1863"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16" w:type="dxa"/>
            <w:vMerge w:val="continue"/>
            <w:vAlign w:val="center"/>
          </w:tcPr>
          <w:p>
            <w:pPr>
              <w:adjustRightInd w:val="0"/>
              <w:snapToGrid w:val="0"/>
              <w:spacing w:before="87" w:beforeLines="15"/>
              <w:jc w:val="center"/>
              <w:rPr>
                <w:rFonts w:ascii="仿宋_GB2312"/>
                <w:snapToGrid w:val="0"/>
                <w:kern w:val="0"/>
                <w:sz w:val="24"/>
              </w:rPr>
            </w:pPr>
          </w:p>
        </w:tc>
        <w:tc>
          <w:tcPr>
            <w:tcW w:w="714" w:type="dxa"/>
            <w:vMerge w:val="continue"/>
            <w:vAlign w:val="center"/>
          </w:tcPr>
          <w:p>
            <w:pPr>
              <w:adjustRightInd w:val="0"/>
              <w:snapToGrid w:val="0"/>
              <w:spacing w:before="87" w:beforeLines="15"/>
              <w:jc w:val="center"/>
              <w:rPr>
                <w:rFonts w:ascii="仿宋_GB2312"/>
                <w:snapToGrid w:val="0"/>
                <w:kern w:val="0"/>
                <w:sz w:val="24"/>
              </w:rPr>
            </w:pPr>
          </w:p>
        </w:tc>
        <w:tc>
          <w:tcPr>
            <w:tcW w:w="1427" w:type="dxa"/>
            <w:vAlign w:val="center"/>
          </w:tcPr>
          <w:p>
            <w:pPr>
              <w:adjustRightInd w:val="0"/>
              <w:snapToGrid w:val="0"/>
              <w:spacing w:before="87" w:beforeLines="15"/>
              <w:jc w:val="center"/>
              <w:rPr>
                <w:rFonts w:ascii="仿宋_GB2312"/>
                <w:snapToGrid w:val="0"/>
                <w:kern w:val="0"/>
                <w:sz w:val="24"/>
              </w:rPr>
            </w:pPr>
          </w:p>
        </w:tc>
        <w:tc>
          <w:tcPr>
            <w:tcW w:w="3091" w:type="dxa"/>
            <w:gridSpan w:val="2"/>
            <w:vAlign w:val="center"/>
          </w:tcPr>
          <w:p>
            <w:pPr>
              <w:adjustRightInd w:val="0"/>
              <w:snapToGrid w:val="0"/>
              <w:spacing w:before="87" w:beforeLines="15"/>
              <w:jc w:val="center"/>
              <w:rPr>
                <w:rFonts w:ascii="仿宋_GB2312"/>
                <w:snapToGrid w:val="0"/>
                <w:kern w:val="0"/>
                <w:sz w:val="24"/>
              </w:rPr>
            </w:pPr>
          </w:p>
        </w:tc>
        <w:tc>
          <w:tcPr>
            <w:tcW w:w="1269" w:type="dxa"/>
            <w:vAlign w:val="center"/>
          </w:tcPr>
          <w:p>
            <w:pPr>
              <w:adjustRightInd w:val="0"/>
              <w:snapToGrid w:val="0"/>
              <w:spacing w:before="87" w:beforeLines="15"/>
              <w:jc w:val="center"/>
              <w:rPr>
                <w:rFonts w:ascii="仿宋_GB2312"/>
                <w:snapToGrid w:val="0"/>
                <w:kern w:val="0"/>
                <w:sz w:val="24"/>
              </w:rPr>
            </w:pPr>
          </w:p>
        </w:tc>
        <w:tc>
          <w:tcPr>
            <w:tcW w:w="1863"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16" w:type="dxa"/>
            <w:vMerge w:val="continue"/>
            <w:vAlign w:val="center"/>
          </w:tcPr>
          <w:p>
            <w:pPr>
              <w:adjustRightInd w:val="0"/>
              <w:snapToGrid w:val="0"/>
              <w:spacing w:before="87" w:beforeLines="15"/>
              <w:jc w:val="center"/>
              <w:rPr>
                <w:rFonts w:ascii="仿宋_GB2312"/>
                <w:snapToGrid w:val="0"/>
                <w:kern w:val="0"/>
                <w:sz w:val="24"/>
              </w:rPr>
            </w:pPr>
          </w:p>
        </w:tc>
        <w:tc>
          <w:tcPr>
            <w:tcW w:w="714" w:type="dxa"/>
            <w:vMerge w:val="continue"/>
            <w:vAlign w:val="center"/>
          </w:tcPr>
          <w:p>
            <w:pPr>
              <w:adjustRightInd w:val="0"/>
              <w:snapToGrid w:val="0"/>
              <w:spacing w:before="87" w:beforeLines="15"/>
              <w:jc w:val="center"/>
              <w:rPr>
                <w:rFonts w:ascii="仿宋_GB2312"/>
                <w:snapToGrid w:val="0"/>
                <w:kern w:val="0"/>
                <w:sz w:val="24"/>
              </w:rPr>
            </w:pPr>
          </w:p>
        </w:tc>
        <w:tc>
          <w:tcPr>
            <w:tcW w:w="1427" w:type="dxa"/>
            <w:vAlign w:val="center"/>
          </w:tcPr>
          <w:p>
            <w:pPr>
              <w:adjustRightInd w:val="0"/>
              <w:snapToGrid w:val="0"/>
              <w:spacing w:before="87" w:beforeLines="15"/>
              <w:jc w:val="center"/>
              <w:rPr>
                <w:rFonts w:ascii="仿宋_GB2312"/>
                <w:snapToGrid w:val="0"/>
                <w:kern w:val="0"/>
                <w:sz w:val="24"/>
              </w:rPr>
            </w:pPr>
          </w:p>
        </w:tc>
        <w:tc>
          <w:tcPr>
            <w:tcW w:w="3091" w:type="dxa"/>
            <w:gridSpan w:val="2"/>
            <w:vAlign w:val="center"/>
          </w:tcPr>
          <w:p>
            <w:pPr>
              <w:adjustRightInd w:val="0"/>
              <w:snapToGrid w:val="0"/>
              <w:spacing w:before="87" w:beforeLines="15"/>
              <w:jc w:val="center"/>
              <w:rPr>
                <w:rFonts w:ascii="仿宋_GB2312"/>
                <w:snapToGrid w:val="0"/>
                <w:kern w:val="0"/>
                <w:sz w:val="24"/>
              </w:rPr>
            </w:pPr>
          </w:p>
        </w:tc>
        <w:tc>
          <w:tcPr>
            <w:tcW w:w="1269" w:type="dxa"/>
            <w:vAlign w:val="center"/>
          </w:tcPr>
          <w:p>
            <w:pPr>
              <w:adjustRightInd w:val="0"/>
              <w:snapToGrid w:val="0"/>
              <w:spacing w:before="87" w:beforeLines="15"/>
              <w:jc w:val="center"/>
              <w:rPr>
                <w:rFonts w:ascii="仿宋_GB2312"/>
                <w:snapToGrid w:val="0"/>
                <w:kern w:val="0"/>
                <w:sz w:val="24"/>
              </w:rPr>
            </w:pPr>
          </w:p>
        </w:tc>
        <w:tc>
          <w:tcPr>
            <w:tcW w:w="1863"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9080" w:type="dxa"/>
            <w:gridSpan w:val="7"/>
            <w:vAlign w:val="center"/>
          </w:tcPr>
          <w:p>
            <w:pPr>
              <w:adjustRightInd w:val="0"/>
              <w:snapToGrid w:val="0"/>
              <w:spacing w:before="87" w:beforeLines="15"/>
              <w:jc w:val="center"/>
              <w:rPr>
                <w:rFonts w:ascii="仿宋_GB2312"/>
                <w:snapToGrid w:val="0"/>
                <w:kern w:val="0"/>
                <w:sz w:val="24"/>
              </w:rPr>
            </w:pPr>
            <w:r>
              <w:rPr>
                <w:rFonts w:hint="eastAsia" w:ascii="黑体" w:eastAsia="黑体"/>
                <w:snapToGrid w:val="0"/>
                <w:kern w:val="0"/>
                <w:sz w:val="28"/>
                <w:szCs w:val="28"/>
              </w:rPr>
              <w:t>现场评审结果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948" w:type="dxa"/>
            <w:gridSpan w:val="5"/>
            <w:vAlign w:val="center"/>
          </w:tcPr>
          <w:p>
            <w:pPr>
              <w:adjustRightInd w:val="0"/>
              <w:snapToGrid w:val="0"/>
              <w:spacing w:before="87" w:beforeLines="15"/>
              <w:rPr>
                <w:rFonts w:ascii="黑体" w:eastAsia="黑体"/>
                <w:snapToGrid w:val="0"/>
                <w:kern w:val="0"/>
                <w:sz w:val="28"/>
                <w:szCs w:val="28"/>
              </w:rPr>
            </w:pPr>
            <w:r>
              <w:rPr>
                <w:rFonts w:hint="eastAsia" w:ascii="仿宋_GB2312"/>
                <w:snapToGrid w:val="0"/>
                <w:kern w:val="0"/>
                <w:sz w:val="24"/>
              </w:rPr>
              <w:t xml:space="preserve">    </w:t>
            </w:r>
            <w:r>
              <w:rPr>
                <w:rFonts w:ascii="仿宋_GB2312"/>
                <w:snapToGrid w:val="0"/>
                <w:kern w:val="0"/>
                <w:sz w:val="24"/>
              </w:rPr>
              <w:t>是否达到</w:t>
            </w:r>
            <w:r>
              <w:rPr>
                <w:rFonts w:hint="eastAsia" w:ascii="仿宋_GB2312"/>
                <w:snapToGrid w:val="0"/>
                <w:kern w:val="0"/>
                <w:sz w:val="24"/>
              </w:rPr>
              <w:t>拟</w:t>
            </w:r>
            <w:r>
              <w:rPr>
                <w:rFonts w:ascii="仿宋_GB2312"/>
                <w:snapToGrid w:val="0"/>
                <w:kern w:val="0"/>
                <w:sz w:val="24"/>
              </w:rPr>
              <w:t>申请</w:t>
            </w:r>
            <w:r>
              <w:rPr>
                <w:rFonts w:hint="eastAsia" w:ascii="仿宋_GB2312"/>
                <w:snapToGrid w:val="0"/>
                <w:kern w:val="0"/>
                <w:sz w:val="24"/>
              </w:rPr>
              <w:t>等级： □</w:t>
            </w:r>
            <w:r>
              <w:rPr>
                <w:rFonts w:ascii="仿宋_GB2312"/>
                <w:snapToGrid w:val="0"/>
                <w:kern w:val="0"/>
                <w:sz w:val="24"/>
              </w:rPr>
              <w:t>是</w:t>
            </w:r>
            <w:r>
              <w:rPr>
                <w:rFonts w:hint="eastAsia" w:ascii="仿宋_GB2312"/>
                <w:snapToGrid w:val="0"/>
                <w:kern w:val="0"/>
                <w:sz w:val="24"/>
              </w:rPr>
              <w:t xml:space="preserve">   □</w:t>
            </w:r>
            <w:r>
              <w:rPr>
                <w:rFonts w:ascii="仿宋_GB2312"/>
                <w:snapToGrid w:val="0"/>
                <w:kern w:val="0"/>
                <w:sz w:val="24"/>
              </w:rPr>
              <w:t>否</w:t>
            </w:r>
          </w:p>
        </w:tc>
        <w:tc>
          <w:tcPr>
            <w:tcW w:w="3132" w:type="dxa"/>
            <w:gridSpan w:val="2"/>
            <w:vAlign w:val="center"/>
          </w:tcPr>
          <w:p>
            <w:pPr>
              <w:adjustRightInd w:val="0"/>
              <w:snapToGrid w:val="0"/>
              <w:spacing w:before="87" w:beforeLines="15"/>
              <w:rPr>
                <w:rFonts w:ascii="黑体" w:eastAsia="黑体"/>
                <w:snapToGrid w:val="0"/>
                <w:kern w:val="0"/>
                <w:sz w:val="28"/>
                <w:szCs w:val="28"/>
              </w:rPr>
            </w:pPr>
            <w:r>
              <w:rPr>
                <w:rFonts w:hint="eastAsia" w:ascii="仿宋_GB2312"/>
                <w:snapToGrid w:val="0"/>
                <w:kern w:val="0"/>
                <w:sz w:val="24"/>
              </w:rPr>
              <w:t xml:space="preserve">    现场评审得分：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9080" w:type="dxa"/>
            <w:gridSpan w:val="7"/>
          </w:tcPr>
          <w:p>
            <w:pPr>
              <w:adjustRightInd w:val="0"/>
              <w:snapToGrid w:val="0"/>
              <w:spacing w:line="440" w:lineRule="exact"/>
              <w:rPr>
                <w:rFonts w:ascii="仿宋_GB2312"/>
                <w:snapToGrid w:val="0"/>
                <w:kern w:val="0"/>
                <w:sz w:val="24"/>
              </w:rPr>
            </w:pPr>
            <w:r>
              <w:rPr>
                <w:rFonts w:hint="eastAsia" w:ascii="仿宋_GB2312"/>
                <w:snapToGrid w:val="0"/>
                <w:kern w:val="0"/>
                <w:sz w:val="24"/>
              </w:rPr>
              <w:t xml:space="preserve">    现场评审组组长签字：</w:t>
            </w:r>
          </w:p>
          <w:p>
            <w:pPr>
              <w:adjustRightInd w:val="0"/>
              <w:snapToGrid w:val="0"/>
              <w:spacing w:line="440" w:lineRule="exact"/>
              <w:ind w:firstLine="1200" w:firstLineChars="500"/>
              <w:rPr>
                <w:rFonts w:ascii="仿宋_GB2312"/>
                <w:snapToGrid w:val="0"/>
                <w:kern w:val="0"/>
                <w:sz w:val="24"/>
              </w:rPr>
            </w:pPr>
            <w:r>
              <w:rPr>
                <w:rFonts w:hint="eastAsia" w:ascii="仿宋_GB2312"/>
                <w:snapToGrid w:val="0"/>
                <w:kern w:val="0"/>
                <w:sz w:val="24"/>
              </w:rPr>
              <w:t xml:space="preserve">    成员签字：</w:t>
            </w:r>
          </w:p>
          <w:p>
            <w:pPr>
              <w:spacing w:line="440" w:lineRule="exact"/>
              <w:rPr>
                <w:rFonts w:ascii="仿宋_GB2312"/>
                <w:snapToGrid w:val="0"/>
                <w:kern w:val="0"/>
                <w:sz w:val="24"/>
              </w:rPr>
            </w:pPr>
            <w:r>
              <w:rPr>
                <w:rFonts w:hint="eastAsia" w:ascii="仿宋_GB2312"/>
                <w:snapToGrid w:val="0"/>
                <w:kern w:val="0"/>
                <w:sz w:val="24"/>
              </w:rPr>
              <w:t xml:space="preserve">                                                  年    月    日</w:t>
            </w:r>
          </w:p>
          <w:p>
            <w:pPr>
              <w:spacing w:line="1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9080" w:type="dxa"/>
            <w:gridSpan w:val="7"/>
            <w:vAlign w:val="center"/>
          </w:tcPr>
          <w:p>
            <w:pPr>
              <w:adjustRightInd w:val="0"/>
              <w:snapToGrid w:val="0"/>
              <w:spacing w:before="87" w:beforeLines="15"/>
              <w:rPr>
                <w:rFonts w:ascii="仿宋_GB2312"/>
                <w:snapToGrid w:val="0"/>
                <w:kern w:val="0"/>
                <w:sz w:val="24"/>
              </w:rPr>
            </w:pPr>
            <w:r>
              <w:rPr>
                <w:rFonts w:hint="eastAsia" w:ascii="仿宋_GB2312"/>
                <w:snapToGrid w:val="0"/>
                <w:kern w:val="0"/>
                <w:sz w:val="24"/>
              </w:rPr>
              <w:t xml:space="preserve">    现场评审情况：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9080" w:type="dxa"/>
            <w:gridSpan w:val="7"/>
            <w:vAlign w:val="center"/>
          </w:tcPr>
          <w:p>
            <w:pPr>
              <w:adjustRightInd w:val="0"/>
              <w:snapToGrid w:val="0"/>
              <w:spacing w:before="87" w:beforeLines="15"/>
              <w:rPr>
                <w:rFonts w:ascii="仿宋_GB2312"/>
                <w:snapToGrid w:val="0"/>
                <w:kern w:val="0"/>
                <w:sz w:val="24"/>
              </w:rPr>
            </w:pPr>
            <w:r>
              <w:rPr>
                <w:rFonts w:hint="eastAsia" w:ascii="仿宋_GB2312"/>
                <w:snapToGrid w:val="0"/>
                <w:kern w:val="0"/>
                <w:sz w:val="24"/>
              </w:rPr>
              <w:t xml:space="preserve">    现场评审不符合项及整改完成情况（另附表提供）：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9080" w:type="dxa"/>
            <w:gridSpan w:val="7"/>
            <w:vAlign w:val="center"/>
          </w:tcPr>
          <w:p>
            <w:pPr>
              <w:adjustRightInd w:val="0"/>
              <w:snapToGrid w:val="0"/>
              <w:spacing w:before="87" w:beforeLines="15"/>
              <w:rPr>
                <w:rFonts w:ascii="仿宋_GB2312"/>
                <w:snapToGrid w:val="0"/>
                <w:kern w:val="0"/>
                <w:sz w:val="24"/>
              </w:rPr>
            </w:pPr>
            <w:r>
              <w:rPr>
                <w:rFonts w:hint="eastAsia" w:ascii="仿宋_GB2312"/>
                <w:snapToGrid w:val="0"/>
                <w:kern w:val="0"/>
                <w:sz w:val="24"/>
              </w:rPr>
              <w:t xml:space="preserve">    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2" w:hRule="atLeast"/>
          <w:jc w:val="center"/>
        </w:trPr>
        <w:tc>
          <w:tcPr>
            <w:tcW w:w="9080" w:type="dxa"/>
            <w:gridSpan w:val="7"/>
          </w:tcPr>
          <w:p>
            <w:pPr>
              <w:adjustRightInd w:val="0"/>
              <w:snapToGrid w:val="0"/>
              <w:spacing w:line="560" w:lineRule="exact"/>
              <w:rPr>
                <w:rFonts w:ascii="仿宋_GB2312"/>
                <w:snapToGrid w:val="0"/>
                <w:kern w:val="0"/>
                <w:sz w:val="24"/>
              </w:rPr>
            </w:pPr>
            <w:r>
              <w:rPr>
                <w:rFonts w:hint="eastAsia" w:ascii="宋体" w:hAnsi="宋体"/>
                <w:sz w:val="24"/>
              </w:rPr>
              <w:t xml:space="preserve">    </w:t>
            </w:r>
            <w:r>
              <w:rPr>
                <w:rFonts w:hint="eastAsia" w:ascii="仿宋_GB2312"/>
                <w:snapToGrid w:val="0"/>
                <w:kern w:val="0"/>
                <w:sz w:val="24"/>
              </w:rPr>
              <w:t>申请定级企业意见：             主要负责人签字：</w:t>
            </w:r>
          </w:p>
          <w:p>
            <w:pPr>
              <w:adjustRightInd w:val="0"/>
              <w:snapToGrid w:val="0"/>
              <w:spacing w:line="560" w:lineRule="exact"/>
              <w:rPr>
                <w:rFonts w:ascii="仿宋_GB2312"/>
                <w:snapToGrid w:val="0"/>
                <w:kern w:val="0"/>
                <w:sz w:val="24"/>
              </w:rPr>
            </w:pPr>
            <w:r>
              <w:rPr>
                <w:rFonts w:hint="eastAsia" w:ascii="仿宋_GB2312"/>
                <w:snapToGrid w:val="0"/>
                <w:kern w:val="0"/>
                <w:sz w:val="24"/>
              </w:rPr>
              <w:t xml:space="preserve">                                                     （企业盖章）   </w:t>
            </w:r>
            <w:r>
              <w:rPr>
                <w:rFonts w:ascii="仿宋_GB2312"/>
                <w:snapToGrid w:val="0"/>
                <w:kern w:val="0"/>
                <w:sz w:val="24"/>
              </w:rPr>
              <w:t xml:space="preserve">                                           </w:t>
            </w:r>
            <w:r>
              <w:rPr>
                <w:rFonts w:hint="eastAsia" w:ascii="仿宋_GB2312"/>
                <w:snapToGrid w:val="0"/>
                <w:kern w:val="0"/>
                <w:sz w:val="24"/>
              </w:rPr>
              <w:t xml:space="preserve">                                     </w:t>
            </w:r>
          </w:p>
          <w:p>
            <w:pPr>
              <w:adjustRightInd w:val="0"/>
              <w:snapToGrid w:val="0"/>
              <w:spacing w:line="560" w:lineRule="exact"/>
              <w:rPr>
                <w:rFonts w:ascii="仿宋_GB2312"/>
                <w:snapToGrid w:val="0"/>
                <w:kern w:val="0"/>
                <w:sz w:val="24"/>
              </w:rPr>
            </w:pPr>
            <w:r>
              <w:rPr>
                <w:rFonts w:hint="eastAsia" w:ascii="仿宋_GB2312"/>
                <w:snapToGrid w:val="0"/>
                <w:kern w:val="0"/>
                <w:sz w:val="24"/>
              </w:rPr>
              <w:t xml:space="preserve">                                                      年   月</w:t>
            </w:r>
            <w:r>
              <w:rPr>
                <w:rFonts w:ascii="仿宋_GB2312"/>
                <w:snapToGrid w:val="0"/>
                <w:kern w:val="0"/>
                <w:sz w:val="24"/>
              </w:rPr>
              <w:t xml:space="preserve"> </w:t>
            </w:r>
            <w:r>
              <w:rPr>
                <w:rFonts w:hint="eastAsia" w:ascii="仿宋_GB2312"/>
                <w:snapToGrid w:val="0"/>
                <w:kern w:val="0"/>
                <w:sz w:val="24"/>
              </w:rPr>
              <w:t xml:space="preserve">  日</w:t>
            </w:r>
          </w:p>
          <w:p>
            <w:pPr>
              <w:adjustRightInd w:val="0"/>
              <w:snapToGrid w:val="0"/>
              <w:spacing w:line="200" w:lineRule="exact"/>
              <w:rPr>
                <w:rFonts w:ascii="仿宋_GB2312"/>
                <w:snapToGrid w:val="0"/>
                <w:kern w:val="0"/>
                <w:sz w:val="24"/>
              </w:rPr>
            </w:pPr>
          </w:p>
        </w:tc>
      </w:tr>
    </w:tbl>
    <w:p/>
    <w:p>
      <w:pPr>
        <w:pStyle w:val="2"/>
        <w:rPr>
          <w:rFonts w:hint="eastAsia" w:ascii="仿宋_GB2312" w:cs="宋体"/>
          <w:kern w:val="0"/>
          <w:sz w:val="32"/>
          <w:szCs w:val="32"/>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ind w:left="0" w:leftChars="0" w:firstLine="640" w:firstLineChars="200"/>
        <w:rPr>
          <w:rFonts w:hint="default"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86"/>
    <w:family w:val="auto"/>
    <w:pitch w:val="default"/>
    <w:sig w:usb0="E0002AFF" w:usb1="C0007843" w:usb2="00000009" w:usb3="00000000" w:csb0="400001FF" w:csb1="FFFF0000"/>
  </w:font>
  <w:font w:name="幼圆">
    <w:altName w:val="宋体"/>
    <w:panose1 w:val="0201050906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80CB1"/>
    <w:rsid w:val="009078D4"/>
    <w:rsid w:val="011F3C65"/>
    <w:rsid w:val="01706C5A"/>
    <w:rsid w:val="01C845C3"/>
    <w:rsid w:val="01EE32CD"/>
    <w:rsid w:val="02732AD9"/>
    <w:rsid w:val="02887E0D"/>
    <w:rsid w:val="029A2657"/>
    <w:rsid w:val="02C15FF3"/>
    <w:rsid w:val="03A56C73"/>
    <w:rsid w:val="04E6104C"/>
    <w:rsid w:val="052F139C"/>
    <w:rsid w:val="05A8092B"/>
    <w:rsid w:val="05D72209"/>
    <w:rsid w:val="06007137"/>
    <w:rsid w:val="06E02ED4"/>
    <w:rsid w:val="070A633C"/>
    <w:rsid w:val="08C73EA6"/>
    <w:rsid w:val="08DE0F69"/>
    <w:rsid w:val="08FB6ABA"/>
    <w:rsid w:val="09075EB2"/>
    <w:rsid w:val="09084F81"/>
    <w:rsid w:val="09E842BA"/>
    <w:rsid w:val="0ADB4030"/>
    <w:rsid w:val="0BE53FCE"/>
    <w:rsid w:val="0C0B0BBE"/>
    <w:rsid w:val="0C84508A"/>
    <w:rsid w:val="0C88277C"/>
    <w:rsid w:val="0CEA455B"/>
    <w:rsid w:val="0D2463E6"/>
    <w:rsid w:val="0DC24875"/>
    <w:rsid w:val="0DD55A80"/>
    <w:rsid w:val="0DE26EEC"/>
    <w:rsid w:val="0E580C0E"/>
    <w:rsid w:val="0E9B6A59"/>
    <w:rsid w:val="0F3650D9"/>
    <w:rsid w:val="0F60215C"/>
    <w:rsid w:val="0FDC2DCD"/>
    <w:rsid w:val="0FED6986"/>
    <w:rsid w:val="107642EE"/>
    <w:rsid w:val="10D5111B"/>
    <w:rsid w:val="112C0AA8"/>
    <w:rsid w:val="113F7C21"/>
    <w:rsid w:val="11403B1D"/>
    <w:rsid w:val="118E213A"/>
    <w:rsid w:val="11F62B1D"/>
    <w:rsid w:val="123162FD"/>
    <w:rsid w:val="123C5CE8"/>
    <w:rsid w:val="12926E3C"/>
    <w:rsid w:val="12A70D57"/>
    <w:rsid w:val="12E73674"/>
    <w:rsid w:val="12F51FF9"/>
    <w:rsid w:val="130B17D8"/>
    <w:rsid w:val="132E0CFC"/>
    <w:rsid w:val="13560A68"/>
    <w:rsid w:val="13E56B91"/>
    <w:rsid w:val="144733AF"/>
    <w:rsid w:val="14760E00"/>
    <w:rsid w:val="14FC45D2"/>
    <w:rsid w:val="153861FA"/>
    <w:rsid w:val="156142E1"/>
    <w:rsid w:val="168229AF"/>
    <w:rsid w:val="17066772"/>
    <w:rsid w:val="171952FD"/>
    <w:rsid w:val="17353BF5"/>
    <w:rsid w:val="17BF7F40"/>
    <w:rsid w:val="17D41F96"/>
    <w:rsid w:val="186C7E04"/>
    <w:rsid w:val="18973C5B"/>
    <w:rsid w:val="18A12E8D"/>
    <w:rsid w:val="1992142C"/>
    <w:rsid w:val="1B070F76"/>
    <w:rsid w:val="1B791E73"/>
    <w:rsid w:val="1BC41225"/>
    <w:rsid w:val="1BDC6053"/>
    <w:rsid w:val="1BDE45A6"/>
    <w:rsid w:val="1C1401F5"/>
    <w:rsid w:val="1CA82722"/>
    <w:rsid w:val="1CDB5B8E"/>
    <w:rsid w:val="1D1805A6"/>
    <w:rsid w:val="1D3F769B"/>
    <w:rsid w:val="1EA734C7"/>
    <w:rsid w:val="1F463494"/>
    <w:rsid w:val="1F7C636C"/>
    <w:rsid w:val="1F882AE5"/>
    <w:rsid w:val="20575A7C"/>
    <w:rsid w:val="212723A0"/>
    <w:rsid w:val="21297872"/>
    <w:rsid w:val="212F403B"/>
    <w:rsid w:val="21D63B5B"/>
    <w:rsid w:val="222D663E"/>
    <w:rsid w:val="23165AB6"/>
    <w:rsid w:val="23652A4E"/>
    <w:rsid w:val="23E85E72"/>
    <w:rsid w:val="24251D5B"/>
    <w:rsid w:val="2439327A"/>
    <w:rsid w:val="24D362FB"/>
    <w:rsid w:val="24F93A94"/>
    <w:rsid w:val="24FE4C51"/>
    <w:rsid w:val="251A0BF5"/>
    <w:rsid w:val="251B1578"/>
    <w:rsid w:val="2571665F"/>
    <w:rsid w:val="25D93DE8"/>
    <w:rsid w:val="26AF4BE2"/>
    <w:rsid w:val="26B54CBB"/>
    <w:rsid w:val="274333B1"/>
    <w:rsid w:val="27617873"/>
    <w:rsid w:val="285B4C72"/>
    <w:rsid w:val="28EE677B"/>
    <w:rsid w:val="28F21C49"/>
    <w:rsid w:val="2A0914C5"/>
    <w:rsid w:val="2A320B03"/>
    <w:rsid w:val="2A3F3B73"/>
    <w:rsid w:val="2A615F55"/>
    <w:rsid w:val="2A6F3BDE"/>
    <w:rsid w:val="2B0E3DF2"/>
    <w:rsid w:val="2B2A5205"/>
    <w:rsid w:val="2B6E1438"/>
    <w:rsid w:val="2BB863B5"/>
    <w:rsid w:val="2BF30491"/>
    <w:rsid w:val="2C207D5C"/>
    <w:rsid w:val="2C667E42"/>
    <w:rsid w:val="2C7600C8"/>
    <w:rsid w:val="2C795234"/>
    <w:rsid w:val="2CD50873"/>
    <w:rsid w:val="2D802649"/>
    <w:rsid w:val="2DB858E8"/>
    <w:rsid w:val="2E207350"/>
    <w:rsid w:val="2E251E4C"/>
    <w:rsid w:val="2E6F34B3"/>
    <w:rsid w:val="2EC306EF"/>
    <w:rsid w:val="2F065303"/>
    <w:rsid w:val="2F4F4A69"/>
    <w:rsid w:val="2F6F3FEE"/>
    <w:rsid w:val="308261F6"/>
    <w:rsid w:val="30BC44F3"/>
    <w:rsid w:val="30EF76D8"/>
    <w:rsid w:val="31261547"/>
    <w:rsid w:val="314029D5"/>
    <w:rsid w:val="327A09B2"/>
    <w:rsid w:val="32957DE8"/>
    <w:rsid w:val="32D9231D"/>
    <w:rsid w:val="336F1DE3"/>
    <w:rsid w:val="33877A23"/>
    <w:rsid w:val="33927FEA"/>
    <w:rsid w:val="33D361C8"/>
    <w:rsid w:val="33F84342"/>
    <w:rsid w:val="34562AF5"/>
    <w:rsid w:val="34664428"/>
    <w:rsid w:val="349A3FC2"/>
    <w:rsid w:val="34FF690B"/>
    <w:rsid w:val="35816919"/>
    <w:rsid w:val="3599707B"/>
    <w:rsid w:val="35B1223C"/>
    <w:rsid w:val="36C50AF5"/>
    <w:rsid w:val="36EB1D2C"/>
    <w:rsid w:val="370C3CE6"/>
    <w:rsid w:val="37B461A2"/>
    <w:rsid w:val="381B165E"/>
    <w:rsid w:val="394C3680"/>
    <w:rsid w:val="396C20AA"/>
    <w:rsid w:val="3A041868"/>
    <w:rsid w:val="3A3337EE"/>
    <w:rsid w:val="3A5357C5"/>
    <w:rsid w:val="3A5701E3"/>
    <w:rsid w:val="3A895F12"/>
    <w:rsid w:val="3A8E4CFD"/>
    <w:rsid w:val="3AC3301B"/>
    <w:rsid w:val="3ADF2BC4"/>
    <w:rsid w:val="3AF146CE"/>
    <w:rsid w:val="3B8409B1"/>
    <w:rsid w:val="3BCE553E"/>
    <w:rsid w:val="3BFF1EAF"/>
    <w:rsid w:val="3C1E3769"/>
    <w:rsid w:val="3C3642C1"/>
    <w:rsid w:val="3C9C59F7"/>
    <w:rsid w:val="3CF529EC"/>
    <w:rsid w:val="3D6C64A6"/>
    <w:rsid w:val="3D987396"/>
    <w:rsid w:val="3E6223A0"/>
    <w:rsid w:val="3F037FF3"/>
    <w:rsid w:val="3F7C0853"/>
    <w:rsid w:val="3FB41A64"/>
    <w:rsid w:val="401F0F96"/>
    <w:rsid w:val="40ED6457"/>
    <w:rsid w:val="41050E99"/>
    <w:rsid w:val="4118242C"/>
    <w:rsid w:val="41187C6E"/>
    <w:rsid w:val="41523527"/>
    <w:rsid w:val="41636D8A"/>
    <w:rsid w:val="41AB3F43"/>
    <w:rsid w:val="41BA12C5"/>
    <w:rsid w:val="41C17E1F"/>
    <w:rsid w:val="425D3CCD"/>
    <w:rsid w:val="426E0D59"/>
    <w:rsid w:val="42A85805"/>
    <w:rsid w:val="42B806C8"/>
    <w:rsid w:val="4300724A"/>
    <w:rsid w:val="43D36866"/>
    <w:rsid w:val="44DD3D99"/>
    <w:rsid w:val="456A7CA7"/>
    <w:rsid w:val="457514B0"/>
    <w:rsid w:val="458C25C8"/>
    <w:rsid w:val="45E6049A"/>
    <w:rsid w:val="4607698F"/>
    <w:rsid w:val="460A19E4"/>
    <w:rsid w:val="4680381E"/>
    <w:rsid w:val="47096956"/>
    <w:rsid w:val="47143BF1"/>
    <w:rsid w:val="471F3585"/>
    <w:rsid w:val="474B4E6F"/>
    <w:rsid w:val="474C3B16"/>
    <w:rsid w:val="47592B95"/>
    <w:rsid w:val="47B8205A"/>
    <w:rsid w:val="47C06DDB"/>
    <w:rsid w:val="48883203"/>
    <w:rsid w:val="48FC7801"/>
    <w:rsid w:val="496A662B"/>
    <w:rsid w:val="496C5D35"/>
    <w:rsid w:val="49745EDF"/>
    <w:rsid w:val="499373CA"/>
    <w:rsid w:val="49BA05E9"/>
    <w:rsid w:val="4A7443C0"/>
    <w:rsid w:val="4B587B68"/>
    <w:rsid w:val="4BAD58EE"/>
    <w:rsid w:val="4C1179AA"/>
    <w:rsid w:val="4CCF7351"/>
    <w:rsid w:val="4D4F590B"/>
    <w:rsid w:val="4D5E2738"/>
    <w:rsid w:val="4D847A60"/>
    <w:rsid w:val="4DC07F37"/>
    <w:rsid w:val="4E677E7F"/>
    <w:rsid w:val="4E8B1A4F"/>
    <w:rsid w:val="4F050776"/>
    <w:rsid w:val="4F264D80"/>
    <w:rsid w:val="4F72667E"/>
    <w:rsid w:val="4FC1230A"/>
    <w:rsid w:val="4FE339CE"/>
    <w:rsid w:val="50171FB7"/>
    <w:rsid w:val="50A869DD"/>
    <w:rsid w:val="512E3350"/>
    <w:rsid w:val="51304C10"/>
    <w:rsid w:val="51BF7907"/>
    <w:rsid w:val="51E67A4C"/>
    <w:rsid w:val="52050780"/>
    <w:rsid w:val="526C1842"/>
    <w:rsid w:val="52977572"/>
    <w:rsid w:val="52F4674C"/>
    <w:rsid w:val="5336711E"/>
    <w:rsid w:val="533C2643"/>
    <w:rsid w:val="53D043A2"/>
    <w:rsid w:val="54164F1F"/>
    <w:rsid w:val="549D54F3"/>
    <w:rsid w:val="54D034D7"/>
    <w:rsid w:val="54F24DCE"/>
    <w:rsid w:val="554F625A"/>
    <w:rsid w:val="560913A9"/>
    <w:rsid w:val="565852C7"/>
    <w:rsid w:val="56A323A3"/>
    <w:rsid w:val="56D80CB1"/>
    <w:rsid w:val="577448F6"/>
    <w:rsid w:val="57A45F0E"/>
    <w:rsid w:val="57F77CD2"/>
    <w:rsid w:val="582C75C8"/>
    <w:rsid w:val="58516FFA"/>
    <w:rsid w:val="58735B4D"/>
    <w:rsid w:val="5881003E"/>
    <w:rsid w:val="58AD710E"/>
    <w:rsid w:val="58E46C96"/>
    <w:rsid w:val="5936594C"/>
    <w:rsid w:val="5BC1762D"/>
    <w:rsid w:val="5C0A37DA"/>
    <w:rsid w:val="5C330D1F"/>
    <w:rsid w:val="5C835859"/>
    <w:rsid w:val="5CE62974"/>
    <w:rsid w:val="5CF324D0"/>
    <w:rsid w:val="5D992B81"/>
    <w:rsid w:val="5DAF7F16"/>
    <w:rsid w:val="5DC516AA"/>
    <w:rsid w:val="5E3F46A6"/>
    <w:rsid w:val="5E5612B5"/>
    <w:rsid w:val="5E596B09"/>
    <w:rsid w:val="5EC809D7"/>
    <w:rsid w:val="5F6B06F8"/>
    <w:rsid w:val="5FB7521B"/>
    <w:rsid w:val="5FED2E04"/>
    <w:rsid w:val="60391FCB"/>
    <w:rsid w:val="608248A9"/>
    <w:rsid w:val="60C935C7"/>
    <w:rsid w:val="61DE3A7E"/>
    <w:rsid w:val="630A37B2"/>
    <w:rsid w:val="632148C0"/>
    <w:rsid w:val="63400A73"/>
    <w:rsid w:val="634E7E57"/>
    <w:rsid w:val="63746479"/>
    <w:rsid w:val="63907307"/>
    <w:rsid w:val="63AF1AC0"/>
    <w:rsid w:val="63C638AB"/>
    <w:rsid w:val="640F2E86"/>
    <w:rsid w:val="643938B7"/>
    <w:rsid w:val="643F03E2"/>
    <w:rsid w:val="647065CA"/>
    <w:rsid w:val="649D3CEF"/>
    <w:rsid w:val="64EA6298"/>
    <w:rsid w:val="65541D69"/>
    <w:rsid w:val="65E30DC2"/>
    <w:rsid w:val="65E60578"/>
    <w:rsid w:val="66226B48"/>
    <w:rsid w:val="665803F4"/>
    <w:rsid w:val="66945B54"/>
    <w:rsid w:val="66C914C1"/>
    <w:rsid w:val="66F13E8A"/>
    <w:rsid w:val="67AB4968"/>
    <w:rsid w:val="68217BB7"/>
    <w:rsid w:val="68535BEE"/>
    <w:rsid w:val="68B62629"/>
    <w:rsid w:val="68C27534"/>
    <w:rsid w:val="68F365B2"/>
    <w:rsid w:val="6A0E3C56"/>
    <w:rsid w:val="6A1812E9"/>
    <w:rsid w:val="6A7B0A84"/>
    <w:rsid w:val="6A9201F6"/>
    <w:rsid w:val="6AD852A0"/>
    <w:rsid w:val="6B354A44"/>
    <w:rsid w:val="6BAD583B"/>
    <w:rsid w:val="6BE2305D"/>
    <w:rsid w:val="6BF470CB"/>
    <w:rsid w:val="6BF6699E"/>
    <w:rsid w:val="6C3101FF"/>
    <w:rsid w:val="6C7D3FC6"/>
    <w:rsid w:val="6CAC75DD"/>
    <w:rsid w:val="6CAD1CBF"/>
    <w:rsid w:val="6CB77720"/>
    <w:rsid w:val="6CBA52EC"/>
    <w:rsid w:val="6CBE2278"/>
    <w:rsid w:val="6CE22F8B"/>
    <w:rsid w:val="6D096C55"/>
    <w:rsid w:val="6D411EDB"/>
    <w:rsid w:val="6D8369F7"/>
    <w:rsid w:val="6DDC4623"/>
    <w:rsid w:val="6ED02C79"/>
    <w:rsid w:val="6F187878"/>
    <w:rsid w:val="6F642D30"/>
    <w:rsid w:val="6F8379FF"/>
    <w:rsid w:val="6F8D3916"/>
    <w:rsid w:val="6F980760"/>
    <w:rsid w:val="6FCA3F48"/>
    <w:rsid w:val="70CE0AA5"/>
    <w:rsid w:val="70F73F95"/>
    <w:rsid w:val="712C0078"/>
    <w:rsid w:val="71746C30"/>
    <w:rsid w:val="71A25B40"/>
    <w:rsid w:val="71CC6FD0"/>
    <w:rsid w:val="721D0FEE"/>
    <w:rsid w:val="73037A61"/>
    <w:rsid w:val="73247946"/>
    <w:rsid w:val="73A16F51"/>
    <w:rsid w:val="743E6565"/>
    <w:rsid w:val="745351B2"/>
    <w:rsid w:val="75235F87"/>
    <w:rsid w:val="756A68C5"/>
    <w:rsid w:val="758221D3"/>
    <w:rsid w:val="75C04E59"/>
    <w:rsid w:val="76C35084"/>
    <w:rsid w:val="783E3C9B"/>
    <w:rsid w:val="788651FF"/>
    <w:rsid w:val="78E73E05"/>
    <w:rsid w:val="799A203C"/>
    <w:rsid w:val="79A7367B"/>
    <w:rsid w:val="79D35400"/>
    <w:rsid w:val="7B3B4305"/>
    <w:rsid w:val="7B98617A"/>
    <w:rsid w:val="7BF776D5"/>
    <w:rsid w:val="7C2118D2"/>
    <w:rsid w:val="7C9D0004"/>
    <w:rsid w:val="7CE10B64"/>
    <w:rsid w:val="7D8D36F4"/>
    <w:rsid w:val="7D923D5A"/>
    <w:rsid w:val="7D972DC8"/>
    <w:rsid w:val="7DA92478"/>
    <w:rsid w:val="7DB44A5E"/>
    <w:rsid w:val="7E6A7E24"/>
    <w:rsid w:val="7E702A2A"/>
    <w:rsid w:val="7E712041"/>
    <w:rsid w:val="7EE05859"/>
    <w:rsid w:val="7F6A28A7"/>
    <w:rsid w:val="7F977963"/>
    <w:rsid w:val="7FCA62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rPr>
      <w:rFonts w:ascii="Times New Roman" w:hAnsi="Times New Roman" w:eastAsia="宋体" w:cs="Times New Roman"/>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2021-11-23T05:32:00Z</dcterms:created>
  <dc:creator>驰而又息</dc:creator>
  <cp:lastModifiedBy>LNAJ</cp:lastModifiedBy>
  <cp:lastPrinted>2022-07-05T00:19:00Z</cp:lastPrinted>
  <dcterms:modified xsi:type="dcterms:W3CDTF">2022-07-07T00:29:20Z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07576206BB3C4C65A2F303AD7D4B7921</vt:lpwstr>
  </property>
</Properties>
</file>